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bCs/>
        </w:rPr>
      </w:pPr>
      <w:bookmarkStart w:id="0" w:name="_Toc15377425"/>
      <w:bookmarkStart w:id="1" w:name="_Toc15396597"/>
      <w:bookmarkStart w:id="2" w:name="_Toc15377193"/>
      <w:bookmarkStart w:id="3" w:name="_Toc15396475"/>
      <w:bookmarkStart w:id="4" w:name="_Toc15378441"/>
      <w:bookmarkStart w:id="5" w:name="_Toc15306267"/>
    </w:p>
    <w:p>
      <w:pPr>
        <w:pStyle w:val="8"/>
        <w:jc w:val="center"/>
        <w:rPr>
          <w:rFonts w:hint="default" w:ascii="Times New Roman" w:hAnsi="Times New Roman" w:eastAsia="方正小标宋简体" w:cs="Times New Roman"/>
          <w:b/>
          <w:bCs/>
          <w:color w:val="auto"/>
          <w:kern w:val="2"/>
          <w:sz w:val="44"/>
          <w:szCs w:val="44"/>
          <w:highlight w:val="none"/>
          <w:lang w:val="en-US" w:eastAsia="zh-CN" w:bidi="ar-SA"/>
        </w:rPr>
      </w:pPr>
    </w:p>
    <w:p>
      <w:pPr>
        <w:pStyle w:val="8"/>
        <w:jc w:val="center"/>
        <w:rPr>
          <w:rFonts w:hint="default" w:ascii="Times New Roman" w:hAnsi="Times New Roman" w:eastAsia="方正小标宋简体" w:cs="Times New Roman"/>
          <w:b/>
          <w:bCs/>
          <w:color w:val="auto"/>
          <w:kern w:val="2"/>
          <w:sz w:val="44"/>
          <w:szCs w:val="44"/>
          <w:highlight w:val="none"/>
          <w:lang w:val="en-US" w:eastAsia="zh-CN" w:bidi="ar-SA"/>
        </w:rPr>
      </w:pPr>
    </w:p>
    <w:p>
      <w:pPr>
        <w:pStyle w:val="8"/>
        <w:suppressAutoHyphens/>
        <w:bidi w:val="0"/>
        <w:spacing w:before="0" w:beforeLines="-2147483648" w:after="140" w:line="276" w:lineRule="auto"/>
        <w:jc w:val="center"/>
        <w:rPr>
          <w:rFonts w:hint="default" w:ascii="Times New Roman" w:hAnsi="Times New Roman" w:eastAsia="方正小标宋简体" w:cs="Times New Roman"/>
          <w:b/>
          <w:bCs/>
          <w:color w:val="auto"/>
          <w:kern w:val="2"/>
          <w:sz w:val="84"/>
          <w:szCs w:val="84"/>
          <w:highlight w:val="none"/>
          <w:lang w:val="en-US" w:eastAsia="zh-CN" w:bidi="ar-SA"/>
        </w:rPr>
      </w:pPr>
    </w:p>
    <w:bookmarkEnd w:id="0"/>
    <w:bookmarkEnd w:id="1"/>
    <w:bookmarkEnd w:id="2"/>
    <w:bookmarkEnd w:id="3"/>
    <w:bookmarkEnd w:id="4"/>
    <w:p>
      <w:pPr>
        <w:pStyle w:val="8"/>
        <w:suppressAutoHyphens/>
        <w:bidi w:val="0"/>
        <w:spacing w:before="0" w:beforeLines="-2147483648" w:after="140" w:line="276" w:lineRule="auto"/>
        <w:jc w:val="center"/>
        <w:rPr>
          <w:rFonts w:hint="default" w:ascii="Times New Roman" w:hAnsi="Times New Roman" w:eastAsia="方正小标宋简体" w:cs="Times New Roman"/>
          <w:b/>
          <w:bCs/>
          <w:color w:val="auto"/>
          <w:kern w:val="2"/>
          <w:sz w:val="84"/>
          <w:szCs w:val="84"/>
          <w:highlight w:val="none"/>
          <w:lang w:val="en-US" w:eastAsia="zh-CN" w:bidi="ar-SA"/>
        </w:rPr>
      </w:pPr>
      <w:bookmarkStart w:id="6" w:name="_Toc15377194"/>
      <w:bookmarkStart w:id="7" w:name="_Toc15396476"/>
      <w:bookmarkStart w:id="8" w:name="_Toc15378442"/>
      <w:bookmarkStart w:id="9" w:name="_Toc15377426"/>
      <w:bookmarkStart w:id="10" w:name="_Toc15396598"/>
      <w:r>
        <w:rPr>
          <w:rFonts w:hint="default" w:ascii="Times New Roman" w:hAnsi="Times New Roman" w:eastAsia="方正小标宋简体" w:cs="Times New Roman"/>
          <w:b/>
          <w:bCs/>
          <w:color w:val="auto"/>
          <w:kern w:val="2"/>
          <w:sz w:val="84"/>
          <w:szCs w:val="84"/>
          <w:highlight w:val="none"/>
          <w:lang w:val="en-US" w:eastAsia="zh-CN" w:bidi="ar-SA"/>
        </w:rPr>
        <w:t>2024年度</w:t>
      </w:r>
      <w:bookmarkEnd w:id="5"/>
      <w:bookmarkStart w:id="11" w:name="_Toc15306268"/>
    </w:p>
    <w:p>
      <w:pPr>
        <w:pStyle w:val="8"/>
        <w:suppressAutoHyphens/>
        <w:bidi w:val="0"/>
        <w:spacing w:before="0" w:beforeLines="-2147483648" w:after="140" w:line="276" w:lineRule="auto"/>
        <w:jc w:val="center"/>
        <w:rPr>
          <w:rFonts w:hint="default" w:ascii="Times New Roman" w:hAnsi="Times New Roman" w:eastAsia="方正小标宋简体" w:cs="Times New Roman"/>
          <w:b/>
          <w:bCs/>
          <w:color w:val="auto"/>
          <w:kern w:val="2"/>
          <w:sz w:val="84"/>
          <w:szCs w:val="84"/>
          <w:highlight w:val="none"/>
          <w:lang w:val="en-US" w:eastAsia="zh-CN" w:bidi="ar-SA"/>
        </w:rPr>
      </w:pPr>
      <w:r>
        <w:rPr>
          <w:rFonts w:hint="default" w:ascii="Times New Roman" w:hAnsi="Times New Roman" w:eastAsia="方正小标宋简体" w:cs="Times New Roman"/>
          <w:b/>
          <w:bCs/>
          <w:color w:val="auto"/>
          <w:kern w:val="2"/>
          <w:sz w:val="84"/>
          <w:szCs w:val="84"/>
          <w:highlight w:val="none"/>
          <w:lang w:val="en-US" w:eastAsia="zh-CN" w:bidi="ar-SA"/>
        </w:rPr>
        <w:t>泸州市残疾人联合会</w:t>
      </w:r>
    </w:p>
    <w:p>
      <w:pPr>
        <w:pStyle w:val="8"/>
        <w:suppressAutoHyphens/>
        <w:bidi w:val="0"/>
        <w:spacing w:before="0" w:beforeLines="-2147483648" w:after="140" w:line="276" w:lineRule="auto"/>
        <w:jc w:val="center"/>
        <w:rPr>
          <w:rFonts w:hint="default" w:ascii="Times New Roman" w:hAnsi="Times New Roman" w:eastAsia="方正小标宋简体" w:cs="Times New Roman"/>
          <w:b/>
          <w:bCs/>
          <w:color w:val="auto"/>
          <w:kern w:val="2"/>
          <w:sz w:val="84"/>
          <w:szCs w:val="84"/>
          <w:highlight w:val="none"/>
          <w:lang w:val="en-US" w:eastAsia="zh-CN" w:bidi="ar-SA"/>
        </w:rPr>
      </w:pPr>
      <w:r>
        <w:rPr>
          <w:rFonts w:hint="default" w:ascii="Times New Roman" w:hAnsi="Times New Roman" w:eastAsia="方正小标宋简体" w:cs="Times New Roman"/>
          <w:b/>
          <w:bCs/>
          <w:color w:val="auto"/>
          <w:kern w:val="2"/>
          <w:sz w:val="84"/>
          <w:szCs w:val="84"/>
          <w:highlight w:val="none"/>
          <w:lang w:val="en-US" w:eastAsia="zh-CN" w:bidi="ar-SA"/>
        </w:rPr>
        <w:t>部门决算</w:t>
      </w:r>
      <w:bookmarkEnd w:id="6"/>
      <w:bookmarkEnd w:id="7"/>
      <w:bookmarkEnd w:id="8"/>
      <w:bookmarkEnd w:id="9"/>
      <w:bookmarkEnd w:id="10"/>
      <w:bookmarkEnd w:id="11"/>
    </w:p>
    <w:p>
      <w:pPr>
        <w:widowControl/>
        <w:jc w:val="center"/>
        <w:rPr>
          <w:rFonts w:hint="default" w:ascii="Times New Roman" w:hAnsi="Times New Roman" w:eastAsia="黑体" w:cs="Times New Roman"/>
          <w:b/>
          <w:bCs/>
          <w:color w:val="auto"/>
          <w:sz w:val="48"/>
          <w:szCs w:val="48"/>
          <w:highlight w:val="none"/>
        </w:rPr>
        <w:sectPr>
          <w:headerReference r:id="rId3" w:type="default"/>
          <w:footerReference r:id="rId4" w:type="default"/>
          <w:pgSz w:w="11906" w:h="16838"/>
          <w:pgMar w:top="2098" w:right="1474" w:bottom="1984" w:left="1587" w:header="851" w:footer="992" w:gutter="0"/>
          <w:pgNumType w:fmt="decimal" w:start="1"/>
          <w:cols w:space="425" w:num="1"/>
          <w:titlePg/>
          <w:docGrid w:type="lines" w:linePitch="312" w:charSpace="0"/>
        </w:sectPr>
      </w:pPr>
    </w:p>
    <w:p>
      <w:pPr>
        <w:widowControl/>
        <w:jc w:val="center"/>
        <w:rPr>
          <w:rFonts w:hint="default" w:ascii="Times New Roman" w:hAnsi="Times New Roman" w:eastAsia="黑体" w:cs="Times New Roman"/>
          <w:b/>
          <w:bCs/>
          <w:color w:val="auto"/>
          <w:sz w:val="48"/>
          <w:szCs w:val="48"/>
          <w:highlight w:val="none"/>
        </w:rPr>
      </w:pPr>
      <w:r>
        <w:rPr>
          <w:rFonts w:hint="default" w:ascii="Times New Roman" w:hAnsi="Times New Roman" w:eastAsia="黑体" w:cs="Times New Roman"/>
          <w:b/>
          <w:bCs/>
          <w:color w:val="auto"/>
          <w:sz w:val="48"/>
          <w:szCs w:val="48"/>
          <w:highlight w:val="none"/>
        </w:rPr>
        <w:t>目录</w:t>
      </w:r>
    </w:p>
    <w:p>
      <w:pPr>
        <w:widowControl/>
        <w:jc w:val="center"/>
        <w:rPr>
          <w:rFonts w:hint="default" w:ascii="Times New Roman" w:hAnsi="Times New Roman" w:eastAsia="黑体" w:cs="Times New Roman"/>
          <w:b/>
          <w:bCs/>
          <w:color w:val="auto"/>
          <w:sz w:val="28"/>
          <w:szCs w:val="28"/>
          <w:highlight w:val="none"/>
        </w:rPr>
      </w:pPr>
    </w:p>
    <w:p>
      <w:pPr>
        <w:pStyle w:val="15"/>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公开时间：20</w:t>
      </w:r>
      <w:r>
        <w:rPr>
          <w:rFonts w:hint="default" w:ascii="Times New Roman" w:hAnsi="Times New Roman" w:eastAsia="仿宋_GB2312" w:cs="Times New Roman"/>
          <w:b/>
          <w:bCs/>
          <w:color w:val="auto"/>
          <w:sz w:val="32"/>
          <w:szCs w:val="32"/>
          <w:highlight w:val="none"/>
          <w:lang w:val="en-US" w:eastAsia="zh-CN"/>
        </w:rPr>
        <w:t>25</w:t>
      </w:r>
      <w:r>
        <w:rPr>
          <w:rFonts w:hint="default" w:ascii="Times New Roman" w:hAnsi="Times New Roman" w:eastAsia="仿宋_GB2312" w:cs="Times New Roman"/>
          <w:b/>
          <w:bCs/>
          <w:color w:val="auto"/>
          <w:sz w:val="32"/>
          <w:szCs w:val="32"/>
          <w:highlight w:val="none"/>
        </w:rPr>
        <w:t>年</w:t>
      </w:r>
      <w:r>
        <w:rPr>
          <w:rFonts w:hint="default" w:ascii="Times New Roman" w:hAnsi="Times New Roman" w:eastAsia="仿宋_GB2312" w:cs="Times New Roman"/>
          <w:b/>
          <w:bCs/>
          <w:color w:val="auto"/>
          <w:sz w:val="32"/>
          <w:szCs w:val="32"/>
          <w:highlight w:val="none"/>
          <w:lang w:val="en-US" w:eastAsia="zh-CN"/>
        </w:rPr>
        <w:t>9</w:t>
      </w:r>
      <w:r>
        <w:rPr>
          <w:rFonts w:hint="default" w:ascii="Times New Roman" w:hAnsi="Times New Roman" w:eastAsia="仿宋_GB2312" w:cs="Times New Roman"/>
          <w:b/>
          <w:bCs/>
          <w:color w:val="auto"/>
          <w:sz w:val="32"/>
          <w:szCs w:val="32"/>
          <w:highlight w:val="none"/>
        </w:rPr>
        <w:t>月</w:t>
      </w:r>
      <w:r>
        <w:rPr>
          <w:rFonts w:hint="default" w:ascii="Times New Roman" w:hAnsi="Times New Roman" w:eastAsia="仿宋_GB2312" w:cs="Times New Roman"/>
          <w:b/>
          <w:bCs/>
          <w:color w:val="auto"/>
          <w:sz w:val="32"/>
          <w:szCs w:val="32"/>
          <w:highlight w:val="none"/>
          <w:lang w:val="en-US" w:eastAsia="zh-CN"/>
        </w:rPr>
        <w:t>22</w:t>
      </w:r>
      <w:r>
        <w:rPr>
          <w:rFonts w:hint="default" w:ascii="Times New Roman" w:hAnsi="Times New Roman" w:eastAsia="仿宋_GB2312" w:cs="Times New Roman"/>
          <w:b/>
          <w:bCs/>
          <w:color w:val="auto"/>
          <w:sz w:val="32"/>
          <w:szCs w:val="32"/>
          <w:highlight w:val="none"/>
        </w:rPr>
        <w:t>日</w:t>
      </w:r>
    </w:p>
    <w:p>
      <w:pPr>
        <w:rPr>
          <w:rFonts w:hint="default" w:ascii="Times New Roman" w:hAnsi="Times New Roman" w:cs="Times New Roman"/>
          <w:b/>
          <w:bCs/>
          <w:color w:val="auto"/>
          <w:highlight w:val="none"/>
        </w:rPr>
      </w:pPr>
    </w:p>
    <w:p>
      <w:pPr>
        <w:pStyle w:val="15"/>
        <w:keepNext w:val="0"/>
        <w:keepLines w:val="0"/>
        <w:pageBreakBefore w:val="0"/>
        <w:widowControl w:val="0"/>
        <w:kinsoku/>
        <w:wordWrap/>
        <w:overflowPunct/>
        <w:topLinePunct w:val="0"/>
        <w:autoSpaceDE/>
        <w:autoSpaceDN/>
        <w:bidi w:val="0"/>
        <w:adjustRightInd w:val="0"/>
        <w:snapToGrid w:val="0"/>
        <w:spacing w:before="0" w:line="560" w:lineRule="exact"/>
        <w:ind w:firstLine="643" w:firstLineChars="200"/>
        <w:jc w:val="left"/>
        <w:textAlignment w:val="auto"/>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bCs/>
          <w:color w:val="auto"/>
          <w:sz w:val="32"/>
          <w:szCs w:val="32"/>
          <w:highlight w:val="none"/>
        </w:rPr>
        <w:t>第一部分 部门概况</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一、</w:t>
      </w:r>
      <w:r>
        <w:rPr>
          <w:rFonts w:hint="default" w:ascii="Times New Roman" w:hAnsi="Times New Roman" w:eastAsia="仿宋_GB2312" w:cs="Times New Roman"/>
          <w:b/>
          <w:bCs/>
          <w:color w:val="auto"/>
          <w:sz w:val="32"/>
          <w:szCs w:val="32"/>
          <w:highlight w:val="none"/>
          <w:lang w:eastAsia="zh-CN"/>
        </w:rPr>
        <w:t>部门职责</w:t>
      </w:r>
      <w:r>
        <w:rPr>
          <w:rFonts w:hint="default" w:ascii="Times New Roman" w:hAnsi="Times New Roman" w:eastAsia="方正黑体简体" w:cs="Times New Roman"/>
          <w:b/>
          <w:bCs/>
          <w:color w:val="auto"/>
          <w:sz w:val="30"/>
          <w:szCs w:val="30"/>
          <w:highlight w:val="none"/>
          <w:lang w:val="en-US" w:eastAsia="zh-CN"/>
        </w:rPr>
        <w:t>............................................................................1</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二、机构设置</w:t>
      </w:r>
      <w:r>
        <w:rPr>
          <w:rFonts w:hint="default" w:ascii="Times New Roman" w:hAnsi="Times New Roman" w:eastAsia="方正黑体简体" w:cs="Times New Roman"/>
          <w:b/>
          <w:bCs/>
          <w:color w:val="auto"/>
          <w:sz w:val="30"/>
          <w:szCs w:val="30"/>
          <w:highlight w:val="none"/>
          <w:lang w:val="en-US" w:eastAsia="zh-CN"/>
        </w:rPr>
        <w:t>............................................................................2</w:t>
      </w:r>
    </w:p>
    <w:p>
      <w:pPr>
        <w:pStyle w:val="15"/>
        <w:keepNext w:val="0"/>
        <w:keepLines w:val="0"/>
        <w:pageBreakBefore w:val="0"/>
        <w:widowControl w:val="0"/>
        <w:kinsoku/>
        <w:wordWrap/>
        <w:overflowPunct/>
        <w:topLinePunct w:val="0"/>
        <w:autoSpaceDE/>
        <w:autoSpaceDN/>
        <w:bidi w:val="0"/>
        <w:adjustRightInd w:val="0"/>
        <w:snapToGrid w:val="0"/>
        <w:spacing w:before="0" w:line="560" w:lineRule="exact"/>
        <w:ind w:firstLine="643" w:firstLineChars="200"/>
        <w:jc w:val="left"/>
        <w:textAlignment w:val="auto"/>
        <w:rPr>
          <w:rFonts w:hint="default" w:ascii="Times New Roman" w:hAnsi="Times New Roman" w:eastAsia="黑体" w:cs="Times New Roman"/>
          <w:b/>
          <w:bCs/>
          <w:color w:val="auto"/>
          <w:sz w:val="32"/>
          <w:szCs w:val="32"/>
          <w:highlight w:val="none"/>
          <w:lang w:val="en-US"/>
        </w:rPr>
      </w:pPr>
      <w:r>
        <w:rPr>
          <w:rFonts w:hint="default" w:ascii="Times New Roman" w:hAnsi="Times New Roman" w:eastAsia="黑体" w:cs="Times New Roman"/>
          <w:b/>
          <w:bCs/>
          <w:color w:val="auto"/>
          <w:sz w:val="32"/>
          <w:szCs w:val="32"/>
          <w:highlight w:val="none"/>
        </w:rPr>
        <w:t>第二部分</w:t>
      </w:r>
      <w:r>
        <w:rPr>
          <w:rFonts w:hint="default" w:ascii="Times New Roman" w:hAnsi="Times New Roman" w:eastAsia="黑体" w:cs="Times New Roman"/>
          <w:b/>
          <w:bCs/>
          <w:color w:val="auto"/>
          <w:sz w:val="32"/>
          <w:szCs w:val="32"/>
          <w:highlight w:val="none"/>
          <w:lang w:val="en-US" w:eastAsia="zh-CN"/>
        </w:rPr>
        <w:t xml:space="preserve"> 2024年度</w:t>
      </w:r>
      <w:r>
        <w:rPr>
          <w:rFonts w:hint="default" w:ascii="Times New Roman" w:hAnsi="Times New Roman" w:eastAsia="黑体" w:cs="Times New Roman"/>
          <w:b/>
          <w:bCs/>
          <w:color w:val="auto"/>
          <w:sz w:val="32"/>
          <w:szCs w:val="32"/>
          <w:highlight w:val="none"/>
        </w:rPr>
        <w:t>部门决算情况说明</w:t>
      </w:r>
      <w:r>
        <w:rPr>
          <w:rFonts w:hint="default" w:ascii="Times New Roman" w:hAnsi="Times New Roman" w:eastAsia="方正黑体简体" w:cs="Times New Roman"/>
          <w:b/>
          <w:bCs/>
          <w:color w:val="auto"/>
          <w:sz w:val="30"/>
          <w:szCs w:val="30"/>
          <w:highlight w:val="none"/>
          <w:lang w:val="en-US" w:eastAsia="zh-CN"/>
        </w:rPr>
        <w:t>..............................3</w:t>
      </w:r>
    </w:p>
    <w:p>
      <w:pPr>
        <w:pStyle w:val="15"/>
        <w:keepNext w:val="0"/>
        <w:keepLines w:val="0"/>
        <w:pageBreakBefore w:val="0"/>
        <w:widowControl w:val="0"/>
        <w:kinsoku/>
        <w:wordWrap/>
        <w:overflowPunct/>
        <w:topLinePunct w:val="0"/>
        <w:autoSpaceDE/>
        <w:autoSpaceDN/>
        <w:bidi w:val="0"/>
        <w:adjustRightInd w:val="0"/>
        <w:snapToGrid w:val="0"/>
        <w:spacing w:before="0" w:line="560" w:lineRule="exact"/>
        <w:ind w:firstLine="643" w:firstLineChars="200"/>
        <w:jc w:val="left"/>
        <w:textAlignment w:val="auto"/>
        <w:rPr>
          <w:rFonts w:hint="default" w:ascii="Times New Roman" w:hAnsi="Times New Roman" w:eastAsia="仿宋_GB2312" w:cs="Times New Roman"/>
          <w:b/>
          <w:bCs/>
          <w:color w:val="auto"/>
          <w:sz w:val="32"/>
          <w:szCs w:val="32"/>
          <w:highlight w:val="none"/>
          <w:lang w:val="en-US"/>
        </w:rPr>
      </w:pPr>
      <w:r>
        <w:rPr>
          <w:rFonts w:hint="default" w:ascii="Times New Roman" w:hAnsi="Times New Roman" w:eastAsia="仿宋_GB2312" w:cs="Times New Roman"/>
          <w:b/>
          <w:bCs/>
          <w:color w:val="auto"/>
          <w:sz w:val="32"/>
          <w:szCs w:val="32"/>
          <w:highlight w:val="none"/>
        </w:rPr>
        <w:t>一、收入支出决算总体情况说明</w:t>
      </w:r>
      <w:r>
        <w:rPr>
          <w:rFonts w:hint="default" w:ascii="Times New Roman" w:hAnsi="Times New Roman" w:eastAsia="方正黑体简体" w:cs="Times New Roman"/>
          <w:b/>
          <w:bCs/>
          <w:color w:val="auto"/>
          <w:sz w:val="30"/>
          <w:szCs w:val="30"/>
          <w:highlight w:val="none"/>
          <w:lang w:val="en-US" w:eastAsia="zh-CN"/>
        </w:rPr>
        <w:t>..........................................3</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lang w:val="en-US"/>
        </w:rPr>
      </w:pPr>
      <w:r>
        <w:rPr>
          <w:rFonts w:hint="default" w:ascii="Times New Roman" w:hAnsi="Times New Roman" w:eastAsia="仿宋_GB2312" w:cs="Times New Roman"/>
          <w:b/>
          <w:bCs/>
          <w:color w:val="auto"/>
          <w:sz w:val="32"/>
          <w:szCs w:val="32"/>
          <w:highlight w:val="none"/>
        </w:rPr>
        <w:t>二、收入决算情况说明</w:t>
      </w:r>
      <w:r>
        <w:rPr>
          <w:rFonts w:hint="default" w:ascii="Times New Roman" w:hAnsi="Times New Roman" w:eastAsia="方正黑体简体" w:cs="Times New Roman"/>
          <w:b/>
          <w:bCs/>
          <w:color w:val="auto"/>
          <w:sz w:val="30"/>
          <w:szCs w:val="30"/>
          <w:highlight w:val="none"/>
          <w:lang w:val="en-US" w:eastAsia="zh-CN"/>
        </w:rPr>
        <w:t>...........................................................3</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lang w:val="en-US"/>
        </w:rPr>
      </w:pPr>
      <w:r>
        <w:rPr>
          <w:rFonts w:hint="default" w:ascii="Times New Roman" w:hAnsi="Times New Roman" w:eastAsia="仿宋_GB2312" w:cs="Times New Roman"/>
          <w:b/>
          <w:bCs/>
          <w:color w:val="auto"/>
          <w:sz w:val="32"/>
          <w:szCs w:val="32"/>
          <w:highlight w:val="none"/>
        </w:rPr>
        <w:t>三、支出决算情况说明</w:t>
      </w:r>
      <w:r>
        <w:rPr>
          <w:rFonts w:hint="default" w:ascii="Times New Roman" w:hAnsi="Times New Roman" w:eastAsia="方正黑体简体" w:cs="Times New Roman"/>
          <w:b/>
          <w:bCs/>
          <w:color w:val="auto"/>
          <w:sz w:val="30"/>
          <w:szCs w:val="30"/>
          <w:highlight w:val="none"/>
          <w:lang w:val="en-US" w:eastAsia="zh-CN"/>
        </w:rPr>
        <w:t>...........................................................4</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lang w:val="en-US"/>
        </w:rPr>
      </w:pPr>
      <w:r>
        <w:rPr>
          <w:rFonts w:hint="default" w:ascii="Times New Roman" w:hAnsi="Times New Roman" w:eastAsia="仿宋_GB2312" w:cs="Times New Roman"/>
          <w:b/>
          <w:bCs/>
          <w:color w:val="auto"/>
          <w:sz w:val="32"/>
          <w:szCs w:val="32"/>
          <w:highlight w:val="none"/>
        </w:rPr>
        <w:t>四、财政拨款收入支出决算总体情况说明</w:t>
      </w:r>
      <w:r>
        <w:rPr>
          <w:rFonts w:hint="default" w:ascii="Times New Roman" w:hAnsi="Times New Roman" w:eastAsia="方正黑体简体" w:cs="Times New Roman"/>
          <w:b/>
          <w:bCs/>
          <w:color w:val="auto"/>
          <w:sz w:val="30"/>
          <w:szCs w:val="30"/>
          <w:highlight w:val="none"/>
          <w:lang w:val="en-US" w:eastAsia="zh-CN"/>
        </w:rPr>
        <w:t>.........................5</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lang w:val="en-US"/>
        </w:rPr>
      </w:pPr>
      <w:r>
        <w:rPr>
          <w:rFonts w:hint="default" w:ascii="Times New Roman" w:hAnsi="Times New Roman" w:eastAsia="仿宋_GB2312" w:cs="Times New Roman"/>
          <w:b/>
          <w:bCs/>
          <w:color w:val="auto"/>
          <w:sz w:val="32"/>
          <w:szCs w:val="32"/>
          <w:highlight w:val="none"/>
        </w:rPr>
        <w:t>五、一般公共预算财政拨款支出决算情况说明</w:t>
      </w:r>
      <w:r>
        <w:rPr>
          <w:rFonts w:hint="default" w:ascii="Times New Roman" w:hAnsi="Times New Roman" w:eastAsia="方正黑体简体" w:cs="Times New Roman"/>
          <w:b/>
          <w:bCs/>
          <w:color w:val="auto"/>
          <w:sz w:val="30"/>
          <w:szCs w:val="30"/>
          <w:highlight w:val="none"/>
          <w:lang w:val="en-US" w:eastAsia="zh-CN"/>
        </w:rPr>
        <w:t>.................5</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六、一般公共预算财政拨款基本支出决算情况说明</w:t>
      </w:r>
      <w:r>
        <w:rPr>
          <w:rFonts w:hint="default" w:ascii="Times New Roman" w:hAnsi="Times New Roman" w:eastAsia="方正黑体简体" w:cs="Times New Roman"/>
          <w:b/>
          <w:bCs/>
          <w:color w:val="auto"/>
          <w:sz w:val="30"/>
          <w:szCs w:val="30"/>
          <w:highlight w:val="none"/>
          <w:lang w:val="en-US" w:eastAsia="zh-CN"/>
        </w:rPr>
        <w:t>........9</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lang w:val="en-US"/>
        </w:rPr>
      </w:pPr>
      <w:r>
        <w:rPr>
          <w:rFonts w:hint="default" w:ascii="Times New Roman" w:hAnsi="Times New Roman" w:eastAsia="仿宋_GB2312" w:cs="Times New Roman"/>
          <w:b/>
          <w:bCs/>
          <w:color w:val="auto"/>
          <w:sz w:val="32"/>
          <w:szCs w:val="32"/>
          <w:highlight w:val="none"/>
        </w:rPr>
        <w:t>七、财政拨款</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三公”经费支出决算情况说明</w:t>
      </w:r>
      <w:r>
        <w:rPr>
          <w:rFonts w:hint="default" w:ascii="Times New Roman" w:hAnsi="Times New Roman" w:eastAsia="方正黑体简体" w:cs="Times New Roman"/>
          <w:b/>
          <w:bCs/>
          <w:color w:val="auto"/>
          <w:sz w:val="30"/>
          <w:szCs w:val="30"/>
          <w:highlight w:val="none"/>
          <w:lang w:val="en-US" w:eastAsia="zh-CN"/>
        </w:rPr>
        <w:t>....................10</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lang w:val="en-US"/>
        </w:rPr>
      </w:pPr>
      <w:r>
        <w:rPr>
          <w:rFonts w:hint="default" w:ascii="Times New Roman" w:hAnsi="Times New Roman" w:eastAsia="仿宋_GB2312" w:cs="Times New Roman"/>
          <w:b/>
          <w:bCs/>
          <w:color w:val="auto"/>
          <w:sz w:val="32"/>
          <w:szCs w:val="32"/>
          <w:highlight w:val="none"/>
        </w:rPr>
        <w:t>八、政府性基金预算支出决算情况说明</w:t>
      </w:r>
      <w:r>
        <w:rPr>
          <w:rFonts w:hint="default" w:ascii="Times New Roman" w:hAnsi="Times New Roman" w:eastAsia="方正黑体简体" w:cs="Times New Roman"/>
          <w:b/>
          <w:bCs/>
          <w:color w:val="auto"/>
          <w:sz w:val="30"/>
          <w:szCs w:val="30"/>
          <w:highlight w:val="none"/>
          <w:lang w:val="en-US" w:eastAsia="zh-CN"/>
        </w:rPr>
        <w:t>.............................12</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方正黑体简体" w:cs="Times New Roman"/>
          <w:b/>
          <w:bCs/>
          <w:color w:val="auto"/>
          <w:sz w:val="30"/>
          <w:szCs w:val="30"/>
          <w:highlight w:val="none"/>
          <w:lang w:val="en-US" w:eastAsia="zh-CN"/>
        </w:rPr>
      </w:pPr>
      <w:r>
        <w:rPr>
          <w:rFonts w:hint="default" w:ascii="Times New Roman" w:hAnsi="Times New Roman" w:eastAsia="仿宋_GB2312" w:cs="Times New Roman"/>
          <w:b/>
          <w:bCs/>
          <w:color w:val="auto"/>
          <w:sz w:val="32"/>
          <w:szCs w:val="32"/>
          <w:highlight w:val="none"/>
        </w:rPr>
        <w:t>九、</w:t>
      </w:r>
      <w:r>
        <w:rPr>
          <w:rFonts w:hint="default" w:ascii="Times New Roman" w:hAnsi="Times New Roman" w:eastAsia="仿宋_GB2312" w:cs="Times New Roman"/>
          <w:b/>
          <w:bCs/>
          <w:color w:val="auto"/>
          <w:sz w:val="32"/>
          <w:szCs w:val="32"/>
          <w:highlight w:val="none"/>
          <w:lang w:eastAsia="zh-CN"/>
        </w:rPr>
        <w:t>国</w:t>
      </w:r>
      <w:r>
        <w:rPr>
          <w:rFonts w:hint="default" w:ascii="Times New Roman" w:hAnsi="Times New Roman" w:eastAsia="仿宋_GB2312" w:cs="Times New Roman"/>
          <w:b/>
          <w:bCs/>
          <w:color w:val="auto"/>
          <w:sz w:val="32"/>
          <w:szCs w:val="32"/>
          <w:highlight w:val="none"/>
        </w:rPr>
        <w:t>有资本经营预算支出决算情况说明</w:t>
      </w:r>
      <w:r>
        <w:rPr>
          <w:rFonts w:hint="default" w:ascii="Times New Roman" w:hAnsi="Times New Roman" w:eastAsia="方正黑体简体" w:cs="Times New Roman"/>
          <w:b/>
          <w:bCs/>
          <w:color w:val="auto"/>
          <w:sz w:val="30"/>
          <w:szCs w:val="30"/>
          <w:highlight w:val="none"/>
          <w:lang w:val="en-US" w:eastAsia="zh-CN"/>
        </w:rPr>
        <w:t>........................12</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lang w:val="en-US"/>
        </w:rPr>
      </w:pPr>
      <w:r>
        <w:rPr>
          <w:rFonts w:hint="default" w:ascii="Times New Roman" w:hAnsi="Times New Roman" w:eastAsia="仿宋_GB2312" w:cs="Times New Roman"/>
          <w:b/>
          <w:bCs/>
          <w:color w:val="auto"/>
          <w:sz w:val="32"/>
          <w:szCs w:val="32"/>
          <w:highlight w:val="none"/>
          <w:lang w:eastAsia="zh-CN"/>
        </w:rPr>
        <w:t>十</w:t>
      </w:r>
      <w:r>
        <w:rPr>
          <w:rFonts w:hint="default" w:ascii="Times New Roman" w:hAnsi="Times New Roman" w:eastAsia="仿宋_GB2312" w:cs="Times New Roman"/>
          <w:b/>
          <w:bCs/>
          <w:color w:val="auto"/>
          <w:sz w:val="32"/>
          <w:szCs w:val="32"/>
          <w:highlight w:val="none"/>
        </w:rPr>
        <w:t>、其他重要事项的情况说明</w:t>
      </w:r>
      <w:r>
        <w:rPr>
          <w:rFonts w:hint="default" w:ascii="Times New Roman" w:hAnsi="Times New Roman" w:eastAsia="方正黑体简体" w:cs="Times New Roman"/>
          <w:b/>
          <w:bCs/>
          <w:color w:val="auto"/>
          <w:sz w:val="30"/>
          <w:szCs w:val="30"/>
          <w:highlight w:val="none"/>
          <w:lang w:val="en-US" w:eastAsia="zh-CN"/>
        </w:rPr>
        <w:t>..............................................12</w:t>
      </w:r>
    </w:p>
    <w:p>
      <w:pPr>
        <w:pStyle w:val="15"/>
        <w:keepNext w:val="0"/>
        <w:keepLines w:val="0"/>
        <w:pageBreakBefore w:val="0"/>
        <w:widowControl w:val="0"/>
        <w:kinsoku/>
        <w:wordWrap/>
        <w:overflowPunct/>
        <w:topLinePunct w:val="0"/>
        <w:autoSpaceDE/>
        <w:autoSpaceDN/>
        <w:bidi w:val="0"/>
        <w:adjustRightInd w:val="0"/>
        <w:snapToGrid w:val="0"/>
        <w:spacing w:before="0" w:line="560" w:lineRule="exact"/>
        <w:ind w:firstLine="643" w:firstLineChars="200"/>
        <w:jc w:val="left"/>
        <w:textAlignment w:val="auto"/>
        <w:rPr>
          <w:rFonts w:hint="default" w:ascii="Times New Roman" w:hAnsi="Times New Roman" w:eastAsia="黑体" w:cs="Times New Roman"/>
          <w:b/>
          <w:bCs/>
          <w:color w:val="auto"/>
          <w:sz w:val="32"/>
          <w:szCs w:val="32"/>
          <w:highlight w:val="none"/>
          <w:lang w:val="en-US"/>
        </w:rPr>
      </w:pPr>
      <w:r>
        <w:rPr>
          <w:rFonts w:hint="default" w:ascii="Times New Roman" w:hAnsi="Times New Roman" w:eastAsia="黑体" w:cs="Times New Roman"/>
          <w:b/>
          <w:bCs/>
          <w:color w:val="auto"/>
          <w:sz w:val="32"/>
          <w:szCs w:val="32"/>
          <w:highlight w:val="none"/>
        </w:rPr>
        <w:t>第三部分 名词解释</w:t>
      </w:r>
      <w:r>
        <w:rPr>
          <w:rFonts w:hint="default" w:ascii="Times New Roman" w:hAnsi="Times New Roman" w:eastAsia="黑体" w:cs="Times New Roman"/>
          <w:b/>
          <w:bCs/>
          <w:color w:val="auto"/>
          <w:sz w:val="32"/>
          <w:szCs w:val="32"/>
          <w:highlight w:val="none"/>
          <w:lang w:val="en-US" w:eastAsia="zh-CN"/>
        </w:rPr>
        <w:t>........................................................</w:t>
      </w:r>
      <w:r>
        <w:rPr>
          <w:rFonts w:hint="default" w:ascii="Times New Roman" w:hAnsi="Times New Roman" w:eastAsia="方正黑体简体" w:cs="Times New Roman"/>
          <w:b/>
          <w:bCs/>
          <w:color w:val="auto"/>
          <w:sz w:val="30"/>
          <w:szCs w:val="30"/>
          <w:highlight w:val="none"/>
          <w:lang w:val="en-US" w:eastAsia="zh-CN"/>
        </w:rPr>
        <w:t>.....15</w:t>
      </w:r>
    </w:p>
    <w:p>
      <w:pPr>
        <w:pStyle w:val="15"/>
        <w:keepNext w:val="0"/>
        <w:keepLines w:val="0"/>
        <w:pageBreakBefore w:val="0"/>
        <w:widowControl w:val="0"/>
        <w:kinsoku/>
        <w:wordWrap/>
        <w:overflowPunct/>
        <w:topLinePunct w:val="0"/>
        <w:autoSpaceDE/>
        <w:autoSpaceDN/>
        <w:bidi w:val="0"/>
        <w:adjustRightInd w:val="0"/>
        <w:snapToGrid w:val="0"/>
        <w:spacing w:before="0" w:line="560" w:lineRule="exact"/>
        <w:ind w:firstLine="643" w:firstLineChars="200"/>
        <w:jc w:val="left"/>
        <w:textAlignment w:val="auto"/>
        <w:rPr>
          <w:rFonts w:hint="default" w:ascii="Times New Roman" w:hAnsi="Times New Roman" w:eastAsia="黑体" w:cs="Times New Roman"/>
          <w:b/>
          <w:bCs/>
          <w:color w:val="auto"/>
          <w:sz w:val="32"/>
          <w:szCs w:val="32"/>
          <w:highlight w:val="none"/>
          <w:lang w:val="en-US"/>
        </w:rPr>
      </w:pPr>
      <w:r>
        <w:rPr>
          <w:rFonts w:hint="default" w:ascii="Times New Roman" w:hAnsi="Times New Roman" w:eastAsia="黑体" w:cs="Times New Roman"/>
          <w:b/>
          <w:bCs/>
          <w:color w:val="auto"/>
          <w:sz w:val="32"/>
          <w:szCs w:val="32"/>
          <w:highlight w:val="none"/>
        </w:rPr>
        <w:t>第四部分 附件</w:t>
      </w:r>
      <w:r>
        <w:rPr>
          <w:rFonts w:hint="default" w:ascii="Times New Roman" w:hAnsi="Times New Roman" w:eastAsia="黑体" w:cs="Times New Roman"/>
          <w:b/>
          <w:bCs/>
          <w:color w:val="auto"/>
          <w:sz w:val="32"/>
          <w:szCs w:val="32"/>
          <w:highlight w:val="none"/>
          <w:lang w:val="en-US" w:eastAsia="zh-CN"/>
        </w:rPr>
        <w:t>...............................................................</w:t>
      </w:r>
      <w:r>
        <w:rPr>
          <w:rFonts w:hint="default" w:ascii="Times New Roman" w:hAnsi="Times New Roman" w:eastAsia="方正黑体简体" w:cs="Times New Roman"/>
          <w:b/>
          <w:bCs/>
          <w:color w:val="auto"/>
          <w:sz w:val="30"/>
          <w:szCs w:val="30"/>
          <w:highlight w:val="none"/>
          <w:lang w:val="en-US" w:eastAsia="zh-CN"/>
        </w:rPr>
        <w:t>......19</w:t>
      </w:r>
    </w:p>
    <w:p>
      <w:pPr>
        <w:pStyle w:val="15"/>
        <w:keepNext w:val="0"/>
        <w:keepLines w:val="0"/>
        <w:pageBreakBefore w:val="0"/>
        <w:widowControl w:val="0"/>
        <w:kinsoku/>
        <w:wordWrap/>
        <w:overflowPunct/>
        <w:topLinePunct w:val="0"/>
        <w:autoSpaceDE/>
        <w:autoSpaceDN/>
        <w:bidi w:val="0"/>
        <w:adjustRightInd w:val="0"/>
        <w:snapToGrid w:val="0"/>
        <w:spacing w:before="0" w:line="560" w:lineRule="exact"/>
        <w:ind w:firstLine="643" w:firstLineChars="200"/>
        <w:jc w:val="left"/>
        <w:textAlignment w:val="auto"/>
        <w:rPr>
          <w:rFonts w:hint="default" w:ascii="Times New Roman" w:hAnsi="Times New Roman" w:eastAsia="黑体" w:cs="Times New Roman"/>
          <w:b/>
          <w:bCs/>
          <w:color w:val="auto"/>
          <w:sz w:val="32"/>
          <w:szCs w:val="32"/>
          <w:highlight w:val="none"/>
          <w:lang w:val="en-US"/>
        </w:rPr>
      </w:pPr>
      <w:r>
        <w:rPr>
          <w:rFonts w:hint="default" w:ascii="Times New Roman" w:hAnsi="Times New Roman" w:eastAsia="黑体" w:cs="Times New Roman"/>
          <w:b/>
          <w:bCs/>
          <w:color w:val="auto"/>
          <w:sz w:val="32"/>
          <w:szCs w:val="32"/>
          <w:highlight w:val="none"/>
        </w:rPr>
        <w:t>第五部分 附表</w:t>
      </w:r>
      <w:r>
        <w:rPr>
          <w:rFonts w:hint="default" w:ascii="Times New Roman" w:hAnsi="Times New Roman" w:eastAsia="黑体" w:cs="Times New Roman"/>
          <w:b/>
          <w:bCs/>
          <w:color w:val="auto"/>
          <w:sz w:val="32"/>
          <w:szCs w:val="32"/>
          <w:highlight w:val="none"/>
          <w:lang w:val="en-US" w:eastAsia="zh-CN"/>
        </w:rPr>
        <w:t>.................................................................</w:t>
      </w:r>
      <w:r>
        <w:rPr>
          <w:rFonts w:hint="default" w:ascii="Times New Roman" w:hAnsi="Times New Roman" w:eastAsia="方正黑体简体" w:cs="Times New Roman"/>
          <w:b/>
          <w:bCs/>
          <w:color w:val="auto"/>
          <w:sz w:val="30"/>
          <w:szCs w:val="30"/>
          <w:highlight w:val="none"/>
          <w:lang w:val="en-US" w:eastAsia="zh-CN"/>
        </w:rPr>
        <w:t>...124</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一、收入支出决算总表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sectPr>
          <w:footerReference r:id="rId6" w:type="first"/>
          <w:footerReference r:id="rId5" w:type="default"/>
          <w:pgSz w:w="11906" w:h="16838"/>
          <w:pgMar w:top="2098" w:right="1474" w:bottom="1984" w:left="1587" w:header="851" w:footer="992" w:gutter="0"/>
          <w:pgNumType w:fmt="decimal" w:start="1"/>
          <w:cols w:space="425" w:num="1"/>
          <w:docGrid w:type="lines" w:linePitch="312" w:charSpace="0"/>
        </w:sectPr>
      </w:pP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二、收入决算表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三、支出决算表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四、财政拨款收入支出决算总表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五、财政拨款支出决算明细表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六、一般公共预算财政拨款支出决算表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七、一般公共预算财政拨款支出决算明细表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八、一般公共预算财政拨款基本支出决算</w:t>
      </w:r>
      <w:r>
        <w:rPr>
          <w:rFonts w:hint="default" w:ascii="Times New Roman" w:hAnsi="Times New Roman" w:eastAsia="仿宋_GB2312" w:cs="Times New Roman"/>
          <w:b/>
          <w:bCs/>
          <w:color w:val="auto"/>
          <w:sz w:val="32"/>
          <w:szCs w:val="32"/>
          <w:highlight w:val="none"/>
          <w:lang w:eastAsia="zh-CN"/>
        </w:rPr>
        <w:t>明细</w:t>
      </w:r>
      <w:r>
        <w:rPr>
          <w:rFonts w:hint="default" w:ascii="Times New Roman" w:hAnsi="Times New Roman" w:eastAsia="仿宋_GB2312" w:cs="Times New Roman"/>
          <w:b/>
          <w:bCs/>
          <w:color w:val="auto"/>
          <w:sz w:val="32"/>
          <w:szCs w:val="32"/>
          <w:highlight w:val="none"/>
        </w:rPr>
        <w:t>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九、一般公共预算财政拨款项目支出决算表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十、政府性基金预算财政拨款收入支出决算表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十一、国有资本经营预算财政拨款收入支出决算表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十二、</w:t>
      </w:r>
      <w:r>
        <w:rPr>
          <w:rFonts w:hint="default" w:ascii="Times New Roman" w:hAnsi="Times New Roman" w:eastAsia="仿宋_GB2312" w:cs="Times New Roman"/>
          <w:b/>
          <w:bCs/>
          <w:color w:val="auto"/>
          <w:sz w:val="32"/>
          <w:szCs w:val="32"/>
          <w:highlight w:val="none"/>
          <w:lang w:val="en-US" w:eastAsia="zh-CN"/>
        </w:rPr>
        <w:t>国有资本经营预算财政拨款支出决算表</w:t>
      </w:r>
    </w:p>
    <w:p>
      <w:pPr>
        <w:pStyle w:val="1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十三、财政拨款“三公”经费支出决算表</w:t>
      </w:r>
    </w:p>
    <w:p>
      <w:pPr>
        <w:pStyle w:val="3"/>
        <w:jc w:val="center"/>
        <w:rPr>
          <w:rFonts w:hint="default" w:ascii="Times New Roman" w:hAnsi="Times New Roman" w:eastAsia="方正小标宋简体" w:cs="Times New Roman"/>
          <w:b/>
          <w:bCs/>
          <w:color w:val="auto"/>
          <w:highlight w:val="none"/>
        </w:rPr>
        <w:sectPr>
          <w:footerReference r:id="rId7" w:type="default"/>
          <w:pgSz w:w="11906" w:h="16838"/>
          <w:pgMar w:top="2098" w:right="1474" w:bottom="1984" w:left="1587" w:header="851" w:footer="992" w:gutter="0"/>
          <w:pgNumType w:fmt="decimal" w:start="1"/>
          <w:cols w:space="425" w:num="1"/>
          <w:docGrid w:type="lines" w:linePitch="312" w:charSpace="0"/>
        </w:sectPr>
      </w:pPr>
      <w:bookmarkStart w:id="12" w:name="_Toc15396599"/>
      <w:bookmarkStart w:id="13" w:name="_Toc15377196"/>
    </w:p>
    <w:p>
      <w:pPr>
        <w:pStyle w:val="3"/>
        <w:jc w:val="center"/>
        <w:rPr>
          <w:rStyle w:val="32"/>
          <w:rFonts w:hint="default" w:ascii="Times New Roman" w:hAnsi="Times New Roman" w:eastAsia="方正小标宋简体" w:cs="Times New Roman"/>
          <w:b/>
          <w:bCs/>
          <w:color w:val="auto"/>
          <w:highlight w:val="none"/>
        </w:rPr>
      </w:pPr>
      <w:r>
        <w:rPr>
          <w:rFonts w:hint="default" w:ascii="Times New Roman" w:hAnsi="Times New Roman" w:eastAsia="方正小标宋简体" w:cs="Times New Roman"/>
          <w:b/>
          <w:bCs/>
          <w:color w:val="auto"/>
          <w:highlight w:val="none"/>
        </w:rPr>
        <w:t>第一部分</w:t>
      </w:r>
      <w:r>
        <w:rPr>
          <w:rFonts w:hint="default" w:ascii="Times New Roman" w:hAnsi="Times New Roman" w:eastAsia="方正小标宋简体" w:cs="Times New Roman"/>
          <w:b/>
          <w:bCs/>
          <w:color w:val="auto"/>
          <w:highlight w:val="none"/>
          <w:lang w:val="en-US" w:eastAsia="zh-CN"/>
        </w:rPr>
        <w:t xml:space="preserve"> </w:t>
      </w:r>
      <w:r>
        <w:rPr>
          <w:rFonts w:hint="default" w:ascii="Times New Roman" w:hAnsi="Times New Roman" w:eastAsia="方正小标宋简体" w:cs="Times New Roman"/>
          <w:b/>
          <w:bCs/>
          <w:color w:val="auto"/>
          <w:highlight w:val="none"/>
        </w:rPr>
        <w:t xml:space="preserve"> </w:t>
      </w:r>
      <w:r>
        <w:rPr>
          <w:rStyle w:val="32"/>
          <w:rFonts w:hint="default" w:ascii="Times New Roman" w:hAnsi="Times New Roman" w:eastAsia="方正小标宋简体" w:cs="Times New Roman"/>
          <w:b/>
          <w:bCs/>
          <w:color w:val="auto"/>
          <w:highlight w:val="none"/>
        </w:rPr>
        <w:t>部门概况</w:t>
      </w:r>
      <w:bookmarkEnd w:id="12"/>
      <w:bookmarkEnd w:id="13"/>
    </w:p>
    <w:p>
      <w:pPr>
        <w:pStyle w:val="4"/>
        <w:keepNext w:val="0"/>
        <w:keepLines w:val="0"/>
        <w:pageBreakBefore w:val="0"/>
        <w:widowControl w:val="0"/>
        <w:numPr>
          <w:ilvl w:val="0"/>
          <w:numId w:val="0"/>
        </w:numPr>
        <w:kinsoku/>
        <w:wordWrap/>
        <w:overflowPunct/>
        <w:topLinePunct w:val="0"/>
        <w:autoSpaceDE/>
        <w:autoSpaceDN/>
        <w:bidi w:val="0"/>
        <w:spacing w:before="0" w:after="0" w:line="600" w:lineRule="exact"/>
        <w:ind w:left="0" w:firstLine="643" w:firstLineChars="200"/>
        <w:jc w:val="both"/>
        <w:textAlignment w:val="auto"/>
        <w:rPr>
          <w:rFonts w:hint="default" w:ascii="Times New Roman" w:hAnsi="Times New Roman" w:eastAsia="黑体" w:cs="Times New Roman"/>
          <w:b/>
          <w:bCs/>
          <w:color w:val="auto"/>
          <w:highlight w:val="none"/>
          <w:lang w:eastAsia="zh-CN"/>
        </w:rPr>
      </w:pPr>
      <w:r>
        <w:rPr>
          <w:rFonts w:hint="default" w:ascii="Times New Roman" w:hAnsi="Times New Roman" w:eastAsia="黑体" w:cs="Times New Roman"/>
          <w:b/>
          <w:bCs/>
          <w:color w:val="auto"/>
          <w:kern w:val="2"/>
          <w:sz w:val="32"/>
          <w:szCs w:val="32"/>
          <w:lang w:val="en-US" w:eastAsia="zh-CN" w:bidi="ar-SA"/>
        </w:rPr>
        <w:t>一、</w:t>
      </w:r>
      <w:r>
        <w:rPr>
          <w:rFonts w:hint="default" w:ascii="Times New Roman" w:hAnsi="Times New Roman" w:eastAsia="黑体" w:cs="Times New Roman"/>
          <w:b/>
          <w:bCs/>
          <w:color w:val="auto"/>
          <w:highlight w:val="none"/>
          <w:lang w:eastAsia="zh-CN"/>
        </w:rPr>
        <w:t>部门职责</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泸州市残疾人联合会（以下简称“市残联”）于1990年10月经市政府批准成立，为正县级单位。是经泸州市人民政府批准和国家法律确认的将残疾人自身代表组织、社会福利团体和事业管理机构融为一体的事业团体。其主要工作职能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color w:val="auto"/>
          <w:kern w:val="2"/>
          <w:sz w:val="32"/>
          <w:szCs w:val="32"/>
          <w:lang w:val="en-US" w:eastAsia="zh-CN" w:bidi="ar-SA"/>
        </w:rPr>
        <w:t>1.</w:t>
      </w:r>
      <w:r>
        <w:rPr>
          <w:rFonts w:hint="default" w:ascii="Times New Roman" w:hAnsi="Times New Roman" w:eastAsia="方正仿宋简体" w:cs="Times New Roman"/>
          <w:b/>
          <w:bCs/>
          <w:sz w:val="32"/>
          <w:szCs w:val="32"/>
          <w:lang w:val="en-US" w:eastAsia="zh-CN"/>
        </w:rPr>
        <w:t>履行“代表、服务、管理”三大职能，代表残疾人共同利益，向政府及有关方面反映残疾人的意见和需求，维护残疾人的合法权益，为残疾人服务。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color w:val="auto"/>
          <w:kern w:val="2"/>
          <w:sz w:val="32"/>
          <w:szCs w:val="32"/>
          <w:lang w:val="en-US" w:eastAsia="zh-CN" w:bidi="ar-SA"/>
        </w:rPr>
        <w:t>2.</w:t>
      </w:r>
      <w:r>
        <w:rPr>
          <w:rFonts w:hint="default" w:ascii="Times New Roman" w:hAnsi="Times New Roman" w:eastAsia="方正仿宋简体" w:cs="Times New Roman"/>
          <w:b/>
          <w:bCs/>
          <w:sz w:val="32"/>
          <w:szCs w:val="32"/>
          <w:lang w:val="en-US" w:eastAsia="zh-CN"/>
        </w:rPr>
        <w:t>团结、教育残疾人遵守法律，履行应尽的义务，发扬乐观进取精神，自尊、自信、自强、自立，为社会主义建设贡献力量。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3.弘扬人道主义，宣传残疾人事业，沟通政府、社会与残疾人之间的关系，动员社会理解、尊重、关心、帮助残疾人，支持残疾人事业。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4.开展残疾人康复、扶贫、教育、劳动就业、职业培训、文化、教育、用品供应、福利、残情鉴定、社会服务、依法推进无障碍建设和残疾预防工作，创造良好的社会环境和条件，扶助残疾人平等参与社会生活。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5.做好残联干部管理工作，对全市残疾人工作者进行培训。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6.承担市人民政府残疾人工作委员会的日常工作，做好综合、组织、协调和服务，协助政府研究、制定和实施残疾人事业政策、规划和计划。</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7.开展残疾人事业的对外交流与合作，承办市委、市政府和省残联交办的其他工作。</w:t>
      </w:r>
    </w:p>
    <w:p>
      <w:pPr>
        <w:pStyle w:val="4"/>
        <w:keepNext w:val="0"/>
        <w:keepLines w:val="0"/>
        <w:pageBreakBefore w:val="0"/>
        <w:widowControl w:val="0"/>
        <w:kinsoku/>
        <w:wordWrap/>
        <w:overflowPunct/>
        <w:topLinePunct w:val="0"/>
        <w:autoSpaceDE/>
        <w:autoSpaceDN/>
        <w:bidi w:val="0"/>
        <w:spacing w:before="0" w:after="0" w:line="600" w:lineRule="exact"/>
        <w:ind w:left="0" w:firstLine="643" w:firstLineChars="200"/>
        <w:jc w:val="both"/>
        <w:textAlignment w:val="auto"/>
        <w:rPr>
          <w:rStyle w:val="33"/>
          <w:rFonts w:hint="default" w:ascii="Times New Roman" w:hAnsi="Times New Roman" w:cs="Times New Roman"/>
          <w:b/>
          <w:bCs/>
          <w:color w:val="auto"/>
          <w:highlight w:val="none"/>
        </w:rPr>
      </w:pPr>
      <w:bookmarkStart w:id="14" w:name="_Toc15377200"/>
      <w:bookmarkStart w:id="15" w:name="_Toc15396601"/>
      <w:r>
        <w:rPr>
          <w:rFonts w:hint="default" w:ascii="Times New Roman" w:hAnsi="Times New Roman" w:eastAsia="黑体" w:cs="Times New Roman"/>
          <w:b/>
          <w:bCs/>
          <w:color w:val="auto"/>
          <w:highlight w:val="none"/>
        </w:rPr>
        <w:t>二、机</w:t>
      </w:r>
      <w:r>
        <w:rPr>
          <w:rStyle w:val="33"/>
          <w:rFonts w:hint="default" w:ascii="Times New Roman" w:hAnsi="Times New Roman" w:eastAsia="黑体" w:cs="Times New Roman"/>
          <w:b/>
          <w:bCs/>
          <w:color w:val="auto"/>
          <w:highlight w:val="none"/>
        </w:rPr>
        <w:t>构设置</w:t>
      </w:r>
      <w:bookmarkEnd w:id="14"/>
      <w:bookmarkEnd w:id="15"/>
    </w:p>
    <w:p>
      <w:pPr>
        <w:keepNext w:val="0"/>
        <w:keepLines w:val="0"/>
        <w:pageBreakBefore w:val="0"/>
        <w:widowControl w:val="0"/>
        <w:kinsoku/>
        <w:wordWrap/>
        <w:overflowPunct/>
        <w:topLinePunct w:val="0"/>
        <w:autoSpaceDE/>
        <w:autoSpaceDN/>
        <w:bidi w:val="0"/>
        <w:spacing w:line="600" w:lineRule="exact"/>
        <w:ind w:left="0" w:leftChars="0" w:firstLine="643" w:firstLineChars="200"/>
        <w:jc w:val="both"/>
        <w:textAlignment w:val="auto"/>
        <w:rPr>
          <w:rFonts w:hint="default" w:ascii="Times New Roman" w:hAnsi="Times New Roman" w:eastAsia="方正仿宋简体" w:cs="Times New Roman"/>
          <w:b/>
          <w:bCs/>
          <w:color w:val="auto"/>
          <w:sz w:val="32"/>
          <w:szCs w:val="32"/>
          <w:highlight w:val="none"/>
        </w:rPr>
      </w:pPr>
      <w:r>
        <w:rPr>
          <w:rFonts w:hint="default" w:ascii="Times New Roman" w:hAnsi="Times New Roman" w:eastAsia="方正仿宋简体" w:cs="Times New Roman"/>
          <w:b/>
          <w:bCs/>
          <w:color w:val="auto"/>
          <w:sz w:val="32"/>
          <w:szCs w:val="32"/>
          <w:highlight w:val="none"/>
          <w:lang w:eastAsia="zh-CN"/>
        </w:rPr>
        <w:t>市残联</w:t>
      </w:r>
      <w:r>
        <w:rPr>
          <w:rFonts w:hint="default" w:ascii="Times New Roman" w:hAnsi="Times New Roman" w:eastAsia="方正仿宋简体" w:cs="Times New Roman"/>
          <w:b/>
          <w:bCs/>
          <w:color w:val="auto"/>
          <w:sz w:val="32"/>
          <w:szCs w:val="32"/>
          <w:highlight w:val="none"/>
        </w:rPr>
        <w:t>下属二级</w:t>
      </w:r>
      <w:r>
        <w:rPr>
          <w:rFonts w:hint="default" w:ascii="Times New Roman" w:hAnsi="Times New Roman" w:eastAsia="方正仿宋简体" w:cs="Times New Roman"/>
          <w:b/>
          <w:bCs/>
          <w:color w:val="auto"/>
          <w:sz w:val="32"/>
          <w:szCs w:val="32"/>
          <w:highlight w:val="none"/>
          <w:lang w:eastAsia="zh-CN"/>
        </w:rPr>
        <w:t>预算</w:t>
      </w:r>
      <w:r>
        <w:rPr>
          <w:rFonts w:hint="default" w:ascii="Times New Roman" w:hAnsi="Times New Roman" w:eastAsia="方正仿宋简体" w:cs="Times New Roman"/>
          <w:b/>
          <w:bCs/>
          <w:color w:val="auto"/>
          <w:sz w:val="32"/>
          <w:szCs w:val="32"/>
          <w:highlight w:val="none"/>
        </w:rPr>
        <w:t>单位</w:t>
      </w:r>
      <w:r>
        <w:rPr>
          <w:rFonts w:hint="default" w:ascii="Times New Roman" w:hAnsi="Times New Roman" w:eastAsia="方正仿宋简体" w:cs="Times New Roman"/>
          <w:b/>
          <w:bCs/>
          <w:color w:val="auto"/>
          <w:sz w:val="32"/>
          <w:szCs w:val="32"/>
          <w:highlight w:val="none"/>
          <w:lang w:val="en-US" w:eastAsia="zh-CN"/>
        </w:rPr>
        <w:t>3</w:t>
      </w:r>
      <w:r>
        <w:rPr>
          <w:rFonts w:hint="default" w:ascii="Times New Roman" w:hAnsi="Times New Roman" w:eastAsia="方正仿宋简体" w:cs="Times New Roman"/>
          <w:b/>
          <w:bCs/>
          <w:color w:val="auto"/>
          <w:sz w:val="32"/>
          <w:szCs w:val="32"/>
          <w:highlight w:val="none"/>
        </w:rPr>
        <w:t>个，其中行政单位</w:t>
      </w:r>
      <w:r>
        <w:rPr>
          <w:rFonts w:hint="default" w:ascii="Times New Roman" w:hAnsi="Times New Roman" w:eastAsia="方正仿宋简体" w:cs="Times New Roman"/>
          <w:b/>
          <w:bCs/>
          <w:color w:val="auto"/>
          <w:sz w:val="32"/>
          <w:szCs w:val="32"/>
          <w:highlight w:val="none"/>
          <w:lang w:val="en-US" w:eastAsia="zh-CN"/>
        </w:rPr>
        <w:t>0</w:t>
      </w:r>
      <w:r>
        <w:rPr>
          <w:rFonts w:hint="default" w:ascii="Times New Roman" w:hAnsi="Times New Roman" w:eastAsia="方正仿宋简体" w:cs="Times New Roman"/>
          <w:b/>
          <w:bCs/>
          <w:color w:val="auto"/>
          <w:sz w:val="32"/>
          <w:szCs w:val="32"/>
          <w:highlight w:val="none"/>
        </w:rPr>
        <w:t>个，参照公务员法管理的事业单位</w:t>
      </w:r>
      <w:r>
        <w:rPr>
          <w:rFonts w:hint="default" w:ascii="Times New Roman" w:hAnsi="Times New Roman" w:eastAsia="方正仿宋简体" w:cs="Times New Roman"/>
          <w:b/>
          <w:bCs/>
          <w:color w:val="auto"/>
          <w:sz w:val="32"/>
          <w:szCs w:val="32"/>
          <w:highlight w:val="none"/>
          <w:lang w:val="en-US" w:eastAsia="zh-CN"/>
        </w:rPr>
        <w:t>1</w:t>
      </w:r>
      <w:r>
        <w:rPr>
          <w:rFonts w:hint="default" w:ascii="Times New Roman" w:hAnsi="Times New Roman" w:eastAsia="方正仿宋简体" w:cs="Times New Roman"/>
          <w:b/>
          <w:bCs/>
          <w:color w:val="auto"/>
          <w:sz w:val="32"/>
          <w:szCs w:val="32"/>
          <w:highlight w:val="none"/>
        </w:rPr>
        <w:t>个，其他事业单位</w:t>
      </w:r>
      <w:r>
        <w:rPr>
          <w:rFonts w:hint="default" w:ascii="Times New Roman" w:hAnsi="Times New Roman" w:eastAsia="方正仿宋简体" w:cs="Times New Roman"/>
          <w:b/>
          <w:bCs/>
          <w:color w:val="auto"/>
          <w:sz w:val="32"/>
          <w:szCs w:val="32"/>
          <w:highlight w:val="none"/>
          <w:lang w:val="en-US" w:eastAsia="zh-CN"/>
        </w:rPr>
        <w:t>2</w:t>
      </w:r>
      <w:r>
        <w:rPr>
          <w:rFonts w:hint="default" w:ascii="Times New Roman" w:hAnsi="Times New Roman" w:eastAsia="方正仿宋简体" w:cs="Times New Roman"/>
          <w:b/>
          <w:bCs/>
          <w:color w:val="auto"/>
          <w:sz w:val="32"/>
          <w:szCs w:val="32"/>
          <w:highlight w:val="none"/>
        </w:rPr>
        <w:t>个。</w:t>
      </w:r>
    </w:p>
    <w:p>
      <w:pPr>
        <w:pStyle w:val="8"/>
        <w:keepNext w:val="0"/>
        <w:keepLines w:val="0"/>
        <w:pageBreakBefore w:val="0"/>
        <w:widowControl w:val="0"/>
        <w:kinsoku/>
        <w:wordWrap/>
        <w:overflowPunct/>
        <w:topLinePunct w:val="0"/>
        <w:autoSpaceDE/>
        <w:autoSpaceDN/>
        <w:bidi w:val="0"/>
        <w:adjustRightInd w:val="0"/>
        <w:snapToGrid w:val="0"/>
        <w:spacing w:beforeLines="0" w:line="600" w:lineRule="exact"/>
        <w:ind w:left="0" w:leftChars="0" w:firstLine="643" w:firstLineChars="200"/>
        <w:jc w:val="both"/>
        <w:textAlignment w:val="auto"/>
        <w:rPr>
          <w:rFonts w:hint="default" w:ascii="Times New Roman" w:hAnsi="Times New Roman" w:eastAsia="方正仿宋简体" w:cs="Times New Roman"/>
          <w:b/>
          <w:bCs/>
          <w:color w:val="auto"/>
          <w:sz w:val="32"/>
          <w:szCs w:val="32"/>
          <w:highlight w:val="none"/>
        </w:rPr>
      </w:pPr>
      <w:r>
        <w:rPr>
          <w:rFonts w:hint="default" w:ascii="Times New Roman" w:hAnsi="Times New Roman" w:eastAsia="方正仿宋简体" w:cs="Times New Roman"/>
          <w:b/>
          <w:bCs/>
          <w:color w:val="auto"/>
          <w:sz w:val="32"/>
          <w:szCs w:val="32"/>
          <w:highlight w:val="none"/>
        </w:rPr>
        <w:t>纳入</w:t>
      </w:r>
      <w:r>
        <w:rPr>
          <w:rFonts w:hint="default" w:ascii="Times New Roman" w:hAnsi="Times New Roman" w:eastAsia="方正仿宋简体" w:cs="Times New Roman"/>
          <w:b/>
          <w:bCs/>
          <w:sz w:val="32"/>
          <w:szCs w:val="32"/>
          <w:lang w:val="en-US" w:eastAsia="zh-CN"/>
        </w:rPr>
        <w:t>市残联</w:t>
      </w:r>
      <w:r>
        <w:rPr>
          <w:rFonts w:hint="default" w:ascii="Times New Roman" w:hAnsi="Times New Roman" w:eastAsia="方正仿宋简体" w:cs="Times New Roman"/>
          <w:b/>
          <w:bCs/>
          <w:color w:val="auto"/>
          <w:sz w:val="32"/>
          <w:szCs w:val="32"/>
          <w:highlight w:val="none"/>
          <w:lang w:eastAsia="zh-CN"/>
        </w:rPr>
        <w:t>2024年度</w:t>
      </w:r>
      <w:r>
        <w:rPr>
          <w:rFonts w:hint="default" w:ascii="Times New Roman" w:hAnsi="Times New Roman" w:eastAsia="方正仿宋简体" w:cs="Times New Roman"/>
          <w:b/>
          <w:bCs/>
          <w:color w:val="auto"/>
          <w:sz w:val="32"/>
          <w:szCs w:val="32"/>
          <w:highlight w:val="none"/>
        </w:rPr>
        <w:t>部门决算编制范围的二级预算单位包括：</w:t>
      </w:r>
      <w:bookmarkStart w:id="16" w:name="_Toc15378449"/>
      <w:bookmarkStart w:id="17" w:name="_Toc15377433"/>
      <w:bookmarkStart w:id="18" w:name="_Toc15306276"/>
      <w:bookmarkStart w:id="19" w:name="_Toc15377202"/>
      <w:bookmarkStart w:id="20" w:name="_Toc15396602"/>
      <w:bookmarkStart w:id="21" w:name="_Toc15377204"/>
    </w:p>
    <w:p>
      <w:pPr>
        <w:pStyle w:val="8"/>
        <w:keepNext w:val="0"/>
        <w:keepLines w:val="0"/>
        <w:pageBreakBefore w:val="0"/>
        <w:widowControl w:val="0"/>
        <w:kinsoku/>
        <w:wordWrap/>
        <w:overflowPunct/>
        <w:topLinePunct w:val="0"/>
        <w:autoSpaceDE/>
        <w:autoSpaceDN/>
        <w:bidi w:val="0"/>
        <w:adjustRightInd w:val="0"/>
        <w:snapToGrid w:val="0"/>
        <w:spacing w:beforeLines="0" w:line="600" w:lineRule="exact"/>
        <w:ind w:left="0" w:leftChars="0"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1.泸州市残疾人联合会</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Lines="0" w:line="60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2.泸州市残疾人劳动就业服务所</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Lines="0" w:line="60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3</w:t>
      </w:r>
      <w:r>
        <w:rPr>
          <w:rFonts w:hint="eastAsia" w:asci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泸州市残疾人康复服务中心</w:t>
      </w:r>
      <w:bookmarkEnd w:id="16"/>
      <w:bookmarkEnd w:id="17"/>
      <w:bookmarkEnd w:id="18"/>
      <w:bookmarkEnd w:id="19"/>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p>
    <w:p>
      <w:pPr>
        <w:rPr>
          <w:rFonts w:hint="default" w:ascii="Times New Roman" w:hAnsi="Times New Roman" w:cs="Times New Roman"/>
          <w:b/>
          <w:bCs/>
        </w:rPr>
      </w:pPr>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p>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883" w:firstLineChars="200"/>
        <w:jc w:val="both"/>
        <w:textAlignment w:val="auto"/>
        <w:rPr>
          <w:rFonts w:hint="default" w:ascii="Times New Roman" w:hAnsi="Times New Roman" w:eastAsia="方正小标宋简体" w:cs="Times New Roman"/>
          <w:b/>
          <w:bCs/>
          <w:color w:val="auto"/>
          <w:highlight w:val="none"/>
        </w:rPr>
      </w:pPr>
      <w:r>
        <w:rPr>
          <w:rFonts w:hint="default" w:ascii="Times New Roman" w:hAnsi="Times New Roman" w:eastAsia="方正小标宋简体" w:cs="Times New Roman"/>
          <w:b/>
          <w:bCs/>
          <w:color w:val="auto"/>
          <w:highlight w:val="none"/>
        </w:rPr>
        <w:t>第二部分</w:t>
      </w:r>
      <w:r>
        <w:rPr>
          <w:rFonts w:hint="default" w:ascii="Times New Roman" w:hAnsi="Times New Roman" w:eastAsia="方正小标宋简体" w:cs="Times New Roman"/>
          <w:b/>
          <w:bCs/>
          <w:color w:val="auto"/>
          <w:highlight w:val="none"/>
          <w:lang w:val="en-US" w:eastAsia="zh-CN"/>
        </w:rPr>
        <w:t xml:space="preserve"> </w:t>
      </w:r>
      <w:r>
        <w:rPr>
          <w:rFonts w:hint="default" w:ascii="Times New Roman" w:hAnsi="Times New Roman" w:eastAsia="方正小标宋简体" w:cs="Times New Roman"/>
          <w:b/>
          <w:bCs/>
          <w:color w:val="auto"/>
          <w:highlight w:val="none"/>
        </w:rPr>
        <w:t xml:space="preserve"> </w:t>
      </w:r>
      <w:r>
        <w:rPr>
          <w:rFonts w:hint="default" w:ascii="Times New Roman" w:hAnsi="Times New Roman" w:eastAsia="方正小标宋简体" w:cs="Times New Roman"/>
          <w:b/>
          <w:bCs/>
          <w:color w:val="auto"/>
          <w:highlight w:val="none"/>
          <w:lang w:val="en-US" w:eastAsia="zh-CN"/>
        </w:rPr>
        <w:t>2024年度</w:t>
      </w:r>
      <w:r>
        <w:rPr>
          <w:rFonts w:hint="default" w:ascii="Times New Roman" w:hAnsi="Times New Roman" w:eastAsia="方正小标宋简体" w:cs="Times New Roman"/>
          <w:b/>
          <w:bCs/>
          <w:color w:val="auto"/>
          <w:highlight w:val="none"/>
        </w:rPr>
        <w:t>部门决算情况说明</w:t>
      </w:r>
      <w:bookmarkEnd w:id="20"/>
      <w:bookmarkEnd w:id="21"/>
    </w:p>
    <w:p>
      <w:pPr>
        <w:keepNext w:val="0"/>
        <w:keepLines w:val="0"/>
        <w:pageBreakBefore w:val="0"/>
        <w:widowControl w:val="0"/>
        <w:kinsoku/>
        <w:wordWrap/>
        <w:overflowPunct/>
        <w:topLinePunct w:val="0"/>
        <w:autoSpaceDE/>
        <w:autoSpaceDN/>
        <w:bidi w:val="0"/>
        <w:adjustRightInd/>
        <w:snapToGrid/>
        <w:spacing w:line="600" w:lineRule="exact"/>
        <w:ind w:firstLine="422" w:firstLineChars="200"/>
        <w:jc w:val="both"/>
        <w:textAlignment w:val="auto"/>
        <w:rPr>
          <w:rFonts w:hint="default" w:ascii="Times New Roman" w:hAnsi="Times New Roman" w:cs="Times New Roman"/>
          <w:b/>
          <w:bCs/>
          <w:color w:val="auto"/>
          <w:highlight w:val="none"/>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Style w:val="33"/>
          <w:rFonts w:hint="default" w:ascii="Times New Roman" w:hAnsi="Times New Roman" w:eastAsia="黑体" w:cs="Times New Roman"/>
          <w:b/>
          <w:bCs/>
          <w:color w:val="auto"/>
          <w:highlight w:val="none"/>
        </w:rPr>
      </w:pPr>
      <w:bookmarkStart w:id="22" w:name="_Toc15396603"/>
      <w:bookmarkStart w:id="23" w:name="_Toc15377205"/>
      <w:r>
        <w:rPr>
          <w:rFonts w:hint="default" w:ascii="Times New Roman" w:hAnsi="Times New Roman" w:eastAsia="黑体" w:cs="Times New Roman"/>
          <w:b/>
          <w:bCs/>
          <w:color w:val="auto"/>
          <w:sz w:val="32"/>
          <w:szCs w:val="32"/>
          <w:highlight w:val="none"/>
          <w:lang w:eastAsia="zh-CN"/>
        </w:rPr>
        <w:t>一、</w:t>
      </w:r>
      <w:r>
        <w:rPr>
          <w:rFonts w:hint="default" w:ascii="Times New Roman" w:hAnsi="Times New Roman" w:eastAsia="黑体" w:cs="Times New Roman"/>
          <w:b/>
          <w:bCs/>
          <w:color w:val="auto"/>
          <w:sz w:val="32"/>
          <w:szCs w:val="32"/>
          <w:highlight w:val="none"/>
        </w:rPr>
        <w:t>收</w:t>
      </w:r>
      <w:r>
        <w:rPr>
          <w:rStyle w:val="33"/>
          <w:rFonts w:hint="default" w:ascii="Times New Roman" w:hAnsi="Times New Roman" w:eastAsia="黑体" w:cs="Times New Roman"/>
          <w:b/>
          <w:bCs/>
          <w:color w:val="auto"/>
          <w:highlight w:val="none"/>
        </w:rPr>
        <w:t>入支出决算总体情况说明</w:t>
      </w:r>
      <w:bookmarkEnd w:id="22"/>
      <w:bookmarkEnd w:id="23"/>
    </w:p>
    <w:p>
      <w:pPr>
        <w:keepNext w:val="0"/>
        <w:keepLines w:val="0"/>
        <w:pageBreakBefore w:val="0"/>
        <w:numPr>
          <w:ilvl w:val="0"/>
          <w:numId w:val="0"/>
        </w:numPr>
        <w:kinsoku/>
        <w:wordWrap/>
        <w:overflowPunct/>
        <w:topLinePunct w:val="0"/>
        <w:autoSpaceDE/>
        <w:autoSpaceDN/>
        <w:bidi w:val="0"/>
        <w:adjustRightInd/>
        <w:snapToGrid w:val="0"/>
        <w:spacing w:line="576" w:lineRule="exact"/>
        <w:ind w:firstLine="643" w:firstLineChars="200"/>
        <w:jc w:val="both"/>
        <w:textAlignment w:val="auto"/>
        <w:outlineLvl w:val="0"/>
        <w:rPr>
          <w:rFonts w:hint="default" w:ascii="Times New Roman" w:hAnsi="Times New Roman" w:eastAsia="方正仿宋简体" w:cs="Times New Roman"/>
          <w:b/>
          <w:bCs/>
          <w:color w:val="000000"/>
          <w:sz w:val="32"/>
          <w:szCs w:val="32"/>
          <w:lang w:val="en-US" w:eastAsia="zh-CN"/>
        </w:rPr>
      </w:pPr>
      <w:r>
        <w:rPr>
          <w:rFonts w:hint="default" w:ascii="Times New Roman" w:hAnsi="Times New Roman" w:eastAsia="方正仿宋简体" w:cs="Times New Roman"/>
          <w:b/>
          <w:bCs/>
          <w:color w:val="000000"/>
          <w:sz w:val="32"/>
          <w:szCs w:val="32"/>
          <w:lang w:val="en-US" w:eastAsia="zh-CN"/>
        </w:rPr>
        <w:t>2024</w:t>
      </w:r>
      <w:r>
        <w:rPr>
          <w:rFonts w:hint="default" w:ascii="Times New Roman" w:hAnsi="Times New Roman" w:eastAsia="方正仿宋简体" w:cs="Times New Roman"/>
          <w:b/>
          <w:bCs/>
          <w:color w:val="000000"/>
          <w:sz w:val="32"/>
          <w:szCs w:val="32"/>
        </w:rPr>
        <w:t>年度收、支总计4505</w:t>
      </w:r>
      <w:r>
        <w:rPr>
          <w:rFonts w:hint="default" w:ascii="Times New Roman" w:hAnsi="Times New Roman" w:eastAsia="方正仿宋简体" w:cs="Times New Roman"/>
          <w:b/>
          <w:bCs/>
          <w:color w:val="000000"/>
          <w:sz w:val="32"/>
          <w:szCs w:val="32"/>
          <w:lang w:val="en-US" w:eastAsia="zh-CN"/>
        </w:rPr>
        <w:t>.</w:t>
      </w:r>
      <w:r>
        <w:rPr>
          <w:rFonts w:hint="default" w:ascii="Times New Roman" w:hAnsi="Times New Roman" w:eastAsia="方正仿宋简体" w:cs="Times New Roman"/>
          <w:b/>
          <w:bCs/>
          <w:color w:val="000000"/>
          <w:sz w:val="32"/>
          <w:szCs w:val="32"/>
        </w:rPr>
        <w:t>8</w:t>
      </w:r>
      <w:r>
        <w:rPr>
          <w:rFonts w:hint="default" w:ascii="Times New Roman" w:hAnsi="Times New Roman" w:eastAsia="方正仿宋简体" w:cs="Times New Roman"/>
          <w:b/>
          <w:bCs/>
          <w:color w:val="000000"/>
          <w:sz w:val="32"/>
          <w:szCs w:val="32"/>
          <w:lang w:val="en-US" w:eastAsia="zh-CN"/>
        </w:rPr>
        <w:t>7</w:t>
      </w:r>
      <w:r>
        <w:rPr>
          <w:rFonts w:hint="default" w:ascii="Times New Roman" w:hAnsi="Times New Roman" w:eastAsia="方正仿宋简体" w:cs="Times New Roman"/>
          <w:b/>
          <w:bCs/>
          <w:color w:val="000000"/>
          <w:sz w:val="32"/>
          <w:szCs w:val="32"/>
        </w:rPr>
        <w:t>万元。与202</w:t>
      </w:r>
      <w:r>
        <w:rPr>
          <w:rFonts w:hint="default" w:ascii="Times New Roman" w:hAnsi="Times New Roman" w:eastAsia="方正仿宋简体" w:cs="Times New Roman"/>
          <w:b/>
          <w:bCs/>
          <w:color w:val="000000"/>
          <w:sz w:val="32"/>
          <w:szCs w:val="32"/>
          <w:lang w:val="en-US" w:eastAsia="zh-CN"/>
        </w:rPr>
        <w:t>3</w:t>
      </w:r>
      <w:r>
        <w:rPr>
          <w:rFonts w:hint="default" w:ascii="Times New Roman" w:hAnsi="Times New Roman" w:eastAsia="方正仿宋简体" w:cs="Times New Roman"/>
          <w:b/>
          <w:bCs/>
          <w:color w:val="000000"/>
          <w:sz w:val="32"/>
          <w:szCs w:val="32"/>
        </w:rPr>
        <w:t>年相比，收、支总计各增加</w:t>
      </w:r>
      <w:r>
        <w:rPr>
          <w:rFonts w:hint="default" w:ascii="Times New Roman" w:hAnsi="Times New Roman" w:eastAsia="方正仿宋简体" w:cs="Times New Roman"/>
          <w:b/>
          <w:bCs/>
          <w:color w:val="000000"/>
          <w:sz w:val="32"/>
          <w:szCs w:val="32"/>
          <w:lang w:val="en-US" w:eastAsia="zh-CN"/>
        </w:rPr>
        <w:t>823.36</w:t>
      </w:r>
      <w:r>
        <w:rPr>
          <w:rFonts w:hint="default" w:ascii="Times New Roman" w:hAnsi="Times New Roman" w:eastAsia="方正仿宋简体" w:cs="Times New Roman"/>
          <w:b/>
          <w:bCs/>
          <w:color w:val="000000"/>
          <w:sz w:val="32"/>
          <w:szCs w:val="32"/>
        </w:rPr>
        <w:t>万元，增长22.36%。主要变动原因</w:t>
      </w:r>
      <w:r>
        <w:rPr>
          <w:rFonts w:hint="default" w:ascii="Times New Roman" w:hAnsi="Times New Roman" w:eastAsia="方正仿宋简体" w:cs="Times New Roman"/>
          <w:b/>
          <w:bCs/>
          <w:color w:val="000000"/>
          <w:sz w:val="32"/>
          <w:szCs w:val="32"/>
          <w:lang w:eastAsia="zh-CN"/>
        </w:rPr>
        <w:t>：一是项目支出</w:t>
      </w:r>
      <w:r>
        <w:rPr>
          <w:rFonts w:hint="default" w:ascii="Times New Roman" w:hAnsi="Times New Roman" w:eastAsia="方正仿宋简体" w:cs="Times New Roman"/>
          <w:b/>
          <w:bCs/>
          <w:sz w:val="32"/>
          <w:szCs w:val="32"/>
        </w:rPr>
        <w:t>“圆梦助学”工程</w:t>
      </w:r>
      <w:r>
        <w:rPr>
          <w:rFonts w:hint="default" w:ascii="Times New Roman" w:hAnsi="Times New Roman" w:eastAsia="方正仿宋简体" w:cs="Times New Roman"/>
          <w:b/>
          <w:bCs/>
          <w:sz w:val="32"/>
          <w:szCs w:val="32"/>
          <w:lang w:eastAsia="zh-CN"/>
        </w:rPr>
        <w:t>根据当年</w:t>
      </w:r>
      <w:r>
        <w:rPr>
          <w:rFonts w:hint="default" w:ascii="Times New Roman" w:hAnsi="Times New Roman" w:eastAsia="方正仿宋简体" w:cs="Times New Roman"/>
          <w:b/>
          <w:bCs/>
          <w:sz w:val="32"/>
          <w:szCs w:val="32"/>
        </w:rPr>
        <w:t>残疾人新生和残疾人子女新生</w:t>
      </w:r>
      <w:r>
        <w:rPr>
          <w:rFonts w:hint="default" w:ascii="Times New Roman" w:hAnsi="Times New Roman" w:eastAsia="方正仿宋简体" w:cs="Times New Roman"/>
          <w:b/>
          <w:bCs/>
          <w:sz w:val="32"/>
          <w:szCs w:val="32"/>
          <w:lang w:eastAsia="zh-CN"/>
        </w:rPr>
        <w:t>实际</w:t>
      </w:r>
      <w:r>
        <w:rPr>
          <w:rFonts w:hint="default" w:ascii="Times New Roman" w:hAnsi="Times New Roman" w:eastAsia="方正仿宋简体" w:cs="Times New Roman"/>
          <w:b/>
          <w:bCs/>
          <w:sz w:val="32"/>
          <w:szCs w:val="32"/>
        </w:rPr>
        <w:t>申请批准人数</w:t>
      </w:r>
      <w:r>
        <w:rPr>
          <w:rFonts w:hint="default" w:ascii="Times New Roman" w:hAnsi="Times New Roman" w:eastAsia="方正仿宋简体" w:cs="Times New Roman"/>
          <w:b/>
          <w:bCs/>
          <w:sz w:val="32"/>
          <w:szCs w:val="32"/>
          <w:lang w:eastAsia="zh-CN"/>
        </w:rPr>
        <w:t>拨付资金，</w:t>
      </w:r>
      <w:r>
        <w:rPr>
          <w:rFonts w:hint="default" w:ascii="Times New Roman" w:hAnsi="Times New Roman" w:eastAsia="方正仿宋简体" w:cs="Times New Roman"/>
          <w:b/>
          <w:bCs/>
          <w:color w:val="000000"/>
          <w:sz w:val="32"/>
          <w:szCs w:val="32"/>
        </w:rPr>
        <w:t>较上年增加</w:t>
      </w:r>
      <w:r>
        <w:rPr>
          <w:rFonts w:hint="default" w:ascii="Times New Roman" w:hAnsi="Times New Roman" w:eastAsia="方正仿宋简体" w:cs="Times New Roman"/>
          <w:b/>
          <w:bCs/>
          <w:color w:val="000000"/>
          <w:sz w:val="32"/>
          <w:szCs w:val="32"/>
          <w:lang w:eastAsia="zh-CN"/>
        </w:rPr>
        <w:t>；二是</w:t>
      </w:r>
      <w:r>
        <w:rPr>
          <w:rFonts w:hint="default" w:ascii="Times New Roman" w:hAnsi="Times New Roman" w:eastAsia="方正仿宋简体" w:cs="Times New Roman"/>
          <w:b/>
          <w:bCs/>
          <w:color w:val="000000"/>
          <w:sz w:val="32"/>
          <w:szCs w:val="32"/>
          <w:lang w:val="en-US" w:eastAsia="zh-CN"/>
        </w:rPr>
        <w:t>市残就所新增市本级残疾人托养中心建设项目支出932.31万元。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sz w:val="32"/>
          <w:szCs w:val="32"/>
          <w:lang w:eastAsia="zh-CN"/>
        </w:rPr>
        <w:pict>
          <v:shape id="Object 5" o:spid="_x0000_s1026" o:spt="75" type="#_x0000_t75" style="position:absolute;left:0pt;margin-left:36.2pt;margin-top:20.75pt;height:236.25pt;width:388.95pt;z-index:251659264;mso-width-relative:page;mso-height-relative:page;" o:ole="t" filled="f" o:preferrelative="t" stroked="f" coordsize="21600,21600">
            <v:path/>
            <v:fill on="f" focussize="0,0"/>
            <v:stroke on="f"/>
            <v:imagedata r:id="rId14" o:title=""/>
            <o:lock v:ext="edit" aspectratio="t"/>
          </v:shape>
          <o:OLEObject Type="Embed" ProgID="Excel.Chart.8" ShapeID="Object 5" DrawAspect="Content" ObjectID="_1468075725" r:id="rId13">
            <o:LockedField>false</o:LockedField>
          </o:OLEObject>
        </w:pic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default" w:ascii="Times New Roman" w:hAnsi="Times New Roman" w:eastAsia="方正仿宋简体" w:cs="Times New Roman"/>
          <w:b/>
          <w:bCs/>
          <w:color w:val="auto"/>
          <w:sz w:val="32"/>
          <w:szCs w:val="32"/>
          <w:highlight w:val="none"/>
        </w:rPr>
      </w:pPr>
      <w:r>
        <w:rPr>
          <w:rFonts w:hint="default" w:ascii="Times New Roman" w:hAnsi="Times New Roman" w:eastAsia="方正仿宋简体" w:cs="Times New Roman"/>
          <w:b/>
          <w:bCs/>
          <w:color w:val="auto"/>
          <w:sz w:val="32"/>
          <w:szCs w:val="32"/>
          <w:highlight w:val="none"/>
        </w:rPr>
        <w:t>（图1：</w:t>
      </w:r>
      <w:r>
        <w:rPr>
          <w:rFonts w:hint="default" w:ascii="Times New Roman" w:hAnsi="Times New Roman" w:eastAsia="方正仿宋简体" w:cs="Times New Roman"/>
          <w:b/>
          <w:bCs/>
          <w:color w:val="auto"/>
          <w:sz w:val="32"/>
          <w:szCs w:val="32"/>
          <w:highlight w:val="none"/>
          <w:lang w:eastAsia="zh-CN"/>
        </w:rPr>
        <w:t>收入</w:t>
      </w:r>
      <w:r>
        <w:rPr>
          <w:rFonts w:hint="default" w:ascii="Times New Roman" w:hAnsi="Times New Roman" w:eastAsia="方正仿宋简体" w:cs="Times New Roman"/>
          <w:b/>
          <w:bCs/>
          <w:color w:val="auto"/>
          <w:sz w:val="32"/>
          <w:szCs w:val="32"/>
          <w:highlight w:val="none"/>
        </w:rPr>
        <w:t>、</w:t>
      </w:r>
      <w:r>
        <w:rPr>
          <w:rFonts w:hint="default" w:ascii="Times New Roman" w:hAnsi="Times New Roman" w:eastAsia="方正仿宋简体" w:cs="Times New Roman"/>
          <w:b/>
          <w:bCs/>
          <w:color w:val="auto"/>
          <w:sz w:val="32"/>
          <w:szCs w:val="32"/>
          <w:highlight w:val="none"/>
          <w:lang w:eastAsia="zh-CN"/>
        </w:rPr>
        <w:t>支出</w:t>
      </w:r>
      <w:r>
        <w:rPr>
          <w:rFonts w:hint="default" w:ascii="Times New Roman" w:hAnsi="Times New Roman" w:eastAsia="方正仿宋简体" w:cs="Times New Roman"/>
          <w:b/>
          <w:bCs/>
          <w:color w:val="auto"/>
          <w:sz w:val="32"/>
          <w:szCs w:val="32"/>
          <w:highlight w:val="none"/>
        </w:rPr>
        <w:t>决算总计变动情况图）</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黑体" w:cs="Times New Roman"/>
          <w:b/>
          <w:bCs/>
          <w:color w:val="auto"/>
          <w:sz w:val="32"/>
          <w:szCs w:val="32"/>
          <w:highlight w:val="none"/>
          <w:lang w:eastAsia="zh-CN"/>
        </w:rPr>
      </w:pPr>
      <w:bookmarkStart w:id="24" w:name="_Toc15396604"/>
      <w:bookmarkStart w:id="25" w:name="_Toc15377206"/>
      <w:r>
        <w:rPr>
          <w:rFonts w:hint="default" w:ascii="Times New Roman" w:hAnsi="Times New Roman" w:eastAsia="黑体" w:cs="Times New Roman"/>
          <w:b/>
          <w:bCs/>
          <w:color w:val="auto"/>
          <w:sz w:val="32"/>
          <w:szCs w:val="32"/>
          <w:highlight w:val="none"/>
          <w:lang w:eastAsia="zh-CN"/>
        </w:rPr>
        <w:t>二、收入决算情况说明</w:t>
      </w:r>
      <w:bookmarkEnd w:id="24"/>
      <w:bookmarkEnd w:id="25"/>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方正仿宋简体" w:cs="Times New Roman"/>
          <w:b/>
          <w:bCs/>
          <w:color w:val="auto"/>
          <w:sz w:val="32"/>
          <w:szCs w:val="32"/>
          <w:highlight w:val="none"/>
        </w:rPr>
      </w:pPr>
      <w:r>
        <w:rPr>
          <w:rFonts w:hint="default" w:ascii="Times New Roman" w:hAnsi="Times New Roman" w:eastAsia="方正仿宋简体" w:cs="Times New Roman"/>
          <w:b/>
          <w:bCs/>
          <w:color w:val="auto"/>
          <w:sz w:val="32"/>
          <w:szCs w:val="32"/>
          <w:highlight w:val="none"/>
          <w:lang w:val="en-US" w:eastAsia="zh-CN"/>
        </w:rPr>
        <w:t>2024</w:t>
      </w:r>
      <w:r>
        <w:rPr>
          <w:rFonts w:hint="default" w:ascii="Times New Roman" w:hAnsi="Times New Roman" w:eastAsia="方正仿宋简体" w:cs="Times New Roman"/>
          <w:b/>
          <w:bCs/>
          <w:color w:val="auto"/>
          <w:sz w:val="32"/>
          <w:szCs w:val="32"/>
          <w:highlight w:val="none"/>
        </w:rPr>
        <w:t>年</w:t>
      </w:r>
      <w:r>
        <w:rPr>
          <w:rFonts w:hint="default" w:ascii="Times New Roman" w:hAnsi="Times New Roman" w:eastAsia="方正仿宋简体" w:cs="Times New Roman"/>
          <w:b/>
          <w:bCs/>
          <w:color w:val="auto"/>
          <w:sz w:val="32"/>
          <w:szCs w:val="32"/>
          <w:highlight w:val="none"/>
          <w:lang w:eastAsia="zh-CN"/>
        </w:rPr>
        <w:t>本年</w:t>
      </w:r>
      <w:r>
        <w:rPr>
          <w:rFonts w:hint="default" w:ascii="Times New Roman" w:hAnsi="Times New Roman" w:eastAsia="方正仿宋简体" w:cs="Times New Roman"/>
          <w:b/>
          <w:bCs/>
          <w:color w:val="auto"/>
          <w:sz w:val="32"/>
          <w:szCs w:val="32"/>
          <w:highlight w:val="none"/>
        </w:rPr>
        <w:t>收入总计4505</w:t>
      </w:r>
      <w:r>
        <w:rPr>
          <w:rFonts w:hint="default" w:ascii="Times New Roman" w:hAnsi="Times New Roman" w:eastAsia="方正仿宋简体" w:cs="Times New Roman"/>
          <w:b/>
          <w:bCs/>
          <w:color w:val="auto"/>
          <w:sz w:val="32"/>
          <w:szCs w:val="32"/>
          <w:highlight w:val="none"/>
          <w:lang w:val="en-US" w:eastAsia="zh-CN"/>
        </w:rPr>
        <w:t>.</w:t>
      </w:r>
      <w:r>
        <w:rPr>
          <w:rFonts w:hint="default" w:ascii="Times New Roman" w:hAnsi="Times New Roman" w:eastAsia="方正仿宋简体" w:cs="Times New Roman"/>
          <w:b/>
          <w:bCs/>
          <w:color w:val="auto"/>
          <w:sz w:val="32"/>
          <w:szCs w:val="32"/>
          <w:highlight w:val="none"/>
        </w:rPr>
        <w:t>8</w:t>
      </w:r>
      <w:r>
        <w:rPr>
          <w:rFonts w:hint="default" w:ascii="Times New Roman" w:hAnsi="Times New Roman" w:eastAsia="方正仿宋简体" w:cs="Times New Roman"/>
          <w:b/>
          <w:bCs/>
          <w:color w:val="auto"/>
          <w:sz w:val="32"/>
          <w:szCs w:val="32"/>
          <w:highlight w:val="none"/>
          <w:lang w:val="en-US" w:eastAsia="zh-CN"/>
        </w:rPr>
        <w:t>7</w:t>
      </w:r>
      <w:r>
        <w:rPr>
          <w:rFonts w:hint="default" w:ascii="Times New Roman" w:hAnsi="Times New Roman" w:eastAsia="方正仿宋简体" w:cs="Times New Roman"/>
          <w:b/>
          <w:bCs/>
          <w:color w:val="auto"/>
          <w:sz w:val="32"/>
          <w:szCs w:val="32"/>
          <w:highlight w:val="none"/>
        </w:rPr>
        <w:t>万元，其中一般公共预算财政拨款收入支出</w:t>
      </w:r>
      <w:r>
        <w:rPr>
          <w:rFonts w:hint="default" w:ascii="Times New Roman" w:hAnsi="Times New Roman" w:eastAsia="方正仿宋简体" w:cs="Times New Roman"/>
          <w:b/>
          <w:bCs/>
          <w:color w:val="auto"/>
          <w:sz w:val="32"/>
          <w:szCs w:val="32"/>
          <w:highlight w:val="none"/>
          <w:lang w:val="en-US" w:eastAsia="zh-CN"/>
        </w:rPr>
        <w:t>3344.72</w:t>
      </w:r>
      <w:r>
        <w:rPr>
          <w:rFonts w:hint="default" w:ascii="Times New Roman" w:hAnsi="Times New Roman" w:eastAsia="方正仿宋简体" w:cs="Times New Roman"/>
          <w:b/>
          <w:bCs/>
          <w:color w:val="auto"/>
          <w:sz w:val="32"/>
          <w:szCs w:val="32"/>
          <w:highlight w:val="none"/>
        </w:rPr>
        <w:t>万元，</w:t>
      </w:r>
      <w:r>
        <w:rPr>
          <w:rFonts w:hint="default" w:ascii="Times New Roman" w:hAnsi="Times New Roman" w:eastAsia="方正仿宋简体" w:cs="Times New Roman"/>
          <w:b/>
          <w:bCs/>
          <w:color w:val="auto"/>
          <w:sz w:val="32"/>
          <w:szCs w:val="32"/>
          <w:highlight w:val="none"/>
          <w:lang w:eastAsia="zh-CN"/>
        </w:rPr>
        <w:t>占</w:t>
      </w:r>
      <w:r>
        <w:rPr>
          <w:rFonts w:hint="default" w:ascii="Times New Roman" w:hAnsi="Times New Roman" w:eastAsia="方正仿宋简体" w:cs="Times New Roman"/>
          <w:b/>
          <w:bCs/>
          <w:color w:val="auto"/>
          <w:sz w:val="32"/>
          <w:szCs w:val="32"/>
          <w:highlight w:val="none"/>
          <w:lang w:val="en-US" w:eastAsia="zh-CN"/>
        </w:rPr>
        <w:t>74.23%；</w:t>
      </w:r>
      <w:r>
        <w:rPr>
          <w:rFonts w:hint="default" w:ascii="Times New Roman" w:hAnsi="Times New Roman" w:eastAsia="方正仿宋简体" w:cs="Times New Roman"/>
          <w:b/>
          <w:bCs/>
          <w:color w:val="auto"/>
          <w:sz w:val="32"/>
          <w:szCs w:val="32"/>
          <w:highlight w:val="none"/>
        </w:rPr>
        <w:t>政府性基金预算财政拨款收入支出</w:t>
      </w:r>
      <w:r>
        <w:rPr>
          <w:rFonts w:hint="default" w:ascii="Times New Roman" w:hAnsi="Times New Roman" w:eastAsia="方正仿宋简体" w:cs="Times New Roman"/>
          <w:b/>
          <w:bCs/>
          <w:color w:val="auto"/>
          <w:sz w:val="32"/>
          <w:szCs w:val="32"/>
          <w:highlight w:val="none"/>
          <w:lang w:val="en-US" w:eastAsia="zh-CN"/>
        </w:rPr>
        <w:t>1161.15</w:t>
      </w:r>
      <w:r>
        <w:rPr>
          <w:rFonts w:hint="default" w:ascii="Times New Roman" w:hAnsi="Times New Roman" w:eastAsia="方正仿宋简体" w:cs="Times New Roman"/>
          <w:b/>
          <w:bCs/>
          <w:color w:val="auto"/>
          <w:sz w:val="32"/>
          <w:szCs w:val="32"/>
          <w:highlight w:val="none"/>
        </w:rPr>
        <w:t>万元，占</w:t>
      </w:r>
      <w:r>
        <w:rPr>
          <w:rFonts w:hint="default" w:ascii="Times New Roman" w:hAnsi="Times New Roman" w:eastAsia="方正仿宋简体" w:cs="Times New Roman"/>
          <w:b/>
          <w:bCs/>
          <w:color w:val="auto"/>
          <w:sz w:val="32"/>
          <w:szCs w:val="32"/>
          <w:highlight w:val="none"/>
          <w:lang w:val="en-US" w:eastAsia="zh-CN"/>
        </w:rPr>
        <w:t>25.77</w:t>
      </w:r>
      <w:r>
        <w:rPr>
          <w:rFonts w:hint="default" w:ascii="Times New Roman" w:hAnsi="Times New Roman" w:eastAsia="方正仿宋简体" w:cs="Times New Roman"/>
          <w:b/>
          <w:bCs/>
          <w:color w:val="auto"/>
          <w:sz w:val="32"/>
          <w:szCs w:val="32"/>
          <w:highlight w:val="none"/>
        </w:rPr>
        <w:t>%</w:t>
      </w:r>
      <w:r>
        <w:rPr>
          <w:rFonts w:hint="default" w:ascii="Times New Roman" w:hAnsi="Times New Roman" w:eastAsia="方正仿宋简体" w:cs="Times New Roman"/>
          <w:b/>
          <w:bCs/>
          <w:color w:val="auto"/>
          <w:sz w:val="32"/>
          <w:szCs w:val="32"/>
          <w:highlight w:val="none"/>
          <w:lang w:eastAsia="zh-CN"/>
        </w:rPr>
        <w:t>。</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22"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r>
        <w:rPr>
          <w:rFonts w:hint="default" w:ascii="Times New Roman" w:hAnsi="Times New Roman" w:eastAsia="仿宋" w:cs="Times New Roman"/>
          <w:b/>
          <w:bCs/>
          <w:lang w:eastAsia="zh-CN"/>
        </w:rPr>
        <w:pict>
          <v:shape id="Object 10" o:spid="_x0000_s1027" o:spt="75" type="#_x0000_t75" style="position:absolute;left:0pt;margin-left:46.45pt;margin-top:5.1pt;height:210.65pt;width:362.4pt;z-index:251660288;mso-width-relative:page;mso-height-relative:page;" o:ole="t" filled="f" o:preferrelative="t" stroked="f" coordsize="21600,21600">
            <v:path/>
            <v:fill on="f" focussize="0,0"/>
            <v:stroke on="f"/>
            <v:imagedata r:id="rId16" o:title=""/>
            <o:lock v:ext="edit" aspectratio="t"/>
          </v:shape>
          <o:OLEObject Type="Embed" ProgID="Excel.Chart.8" ShapeID="Object 10" DrawAspect="Content" ObjectID="_1468075726" r:id="rId15">
            <o:LockedField>false</o:LockedField>
          </o:OLEObject>
        </w:pic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default" w:ascii="Times New Roman" w:hAnsi="Times New Roman" w:eastAsia="仿宋_GB2312" w:cs="Times New Roman"/>
          <w:b/>
          <w:bCs/>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（图2：收入决算结构图）</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Style w:val="33"/>
          <w:rFonts w:hint="default" w:ascii="Times New Roman" w:hAnsi="Times New Roman" w:eastAsia="黑体" w:cs="Times New Roman"/>
          <w:b/>
          <w:bCs/>
          <w:color w:val="auto"/>
          <w:highlight w:val="none"/>
        </w:rPr>
      </w:pPr>
      <w:bookmarkStart w:id="26" w:name="_Toc15396605"/>
      <w:bookmarkStart w:id="27" w:name="_Toc15377207"/>
      <w:r>
        <w:rPr>
          <w:rFonts w:hint="default" w:ascii="Times New Roman" w:hAnsi="Times New Roman" w:eastAsia="黑体" w:cs="Times New Roman"/>
          <w:b/>
          <w:bCs/>
          <w:color w:val="auto"/>
          <w:sz w:val="32"/>
          <w:szCs w:val="32"/>
          <w:highlight w:val="none"/>
          <w:lang w:eastAsia="zh-CN"/>
        </w:rPr>
        <w:t>三、</w:t>
      </w:r>
      <w:r>
        <w:rPr>
          <w:rFonts w:hint="default" w:ascii="Times New Roman" w:hAnsi="Times New Roman" w:eastAsia="黑体" w:cs="Times New Roman"/>
          <w:b/>
          <w:bCs/>
          <w:color w:val="auto"/>
          <w:sz w:val="32"/>
          <w:szCs w:val="32"/>
          <w:highlight w:val="none"/>
        </w:rPr>
        <w:t>支</w:t>
      </w:r>
      <w:r>
        <w:rPr>
          <w:rStyle w:val="33"/>
          <w:rFonts w:hint="default" w:ascii="Times New Roman" w:hAnsi="Times New Roman" w:eastAsia="黑体" w:cs="Times New Roman"/>
          <w:b/>
          <w:bCs/>
          <w:color w:val="auto"/>
          <w:highlight w:val="none"/>
        </w:rPr>
        <w:t>出决算情况说明</w:t>
      </w:r>
      <w:bookmarkEnd w:id="26"/>
      <w:bookmarkEnd w:id="2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default" w:ascii="Times New Roman" w:hAnsi="Times New Roman" w:eastAsia="方正仿宋简体" w:cs="Times New Roman"/>
          <w:b/>
          <w:bCs/>
          <w:color w:val="auto"/>
          <w:sz w:val="32"/>
          <w:szCs w:val="32"/>
          <w:highlight w:val="none"/>
          <w:lang w:eastAsia="zh-CN"/>
        </w:rPr>
      </w:pPr>
      <w:r>
        <w:rPr>
          <w:rFonts w:hint="default" w:ascii="Times New Roman" w:hAnsi="Times New Roman" w:eastAsia="方正仿宋简体" w:cs="Times New Roman"/>
          <w:b/>
          <w:bCs/>
          <w:color w:val="auto"/>
          <w:sz w:val="32"/>
          <w:szCs w:val="32"/>
          <w:highlight w:val="none"/>
          <w:lang w:eastAsia="zh-CN"/>
        </w:rPr>
        <w:t>202</w:t>
      </w:r>
      <w:r>
        <w:rPr>
          <w:rFonts w:hint="default" w:ascii="Times New Roman" w:hAnsi="Times New Roman" w:eastAsia="方正仿宋简体" w:cs="Times New Roman"/>
          <w:b/>
          <w:bCs/>
          <w:color w:val="auto"/>
          <w:sz w:val="32"/>
          <w:szCs w:val="32"/>
          <w:highlight w:val="none"/>
          <w:lang w:val="en-US" w:eastAsia="zh-CN"/>
        </w:rPr>
        <w:t>4</w:t>
      </w:r>
      <w:r>
        <w:rPr>
          <w:rFonts w:hint="default" w:ascii="Times New Roman" w:hAnsi="Times New Roman" w:eastAsia="方正仿宋简体" w:cs="Times New Roman"/>
          <w:b/>
          <w:bCs/>
          <w:color w:val="auto"/>
          <w:sz w:val="32"/>
          <w:szCs w:val="32"/>
          <w:highlight w:val="none"/>
        </w:rPr>
        <w:t>年</w:t>
      </w:r>
      <w:r>
        <w:rPr>
          <w:rFonts w:hint="default" w:ascii="Times New Roman" w:hAnsi="Times New Roman" w:eastAsia="方正仿宋简体" w:cs="Times New Roman"/>
          <w:b/>
          <w:bCs/>
          <w:color w:val="auto"/>
          <w:sz w:val="32"/>
          <w:szCs w:val="32"/>
          <w:highlight w:val="none"/>
          <w:lang w:eastAsia="zh-CN"/>
        </w:rPr>
        <w:t>度</w:t>
      </w:r>
      <w:r>
        <w:rPr>
          <w:rFonts w:hint="default" w:ascii="Times New Roman" w:hAnsi="Times New Roman" w:eastAsia="方正仿宋简体" w:cs="Times New Roman"/>
          <w:b/>
          <w:bCs/>
          <w:color w:val="auto"/>
          <w:sz w:val="32"/>
          <w:szCs w:val="32"/>
          <w:highlight w:val="none"/>
        </w:rPr>
        <w:t>本年支出合计</w:t>
      </w:r>
      <w:r>
        <w:rPr>
          <w:rFonts w:hint="default" w:ascii="Times New Roman" w:hAnsi="Times New Roman" w:eastAsia="方正仿宋简体" w:cs="Times New Roman"/>
          <w:b/>
          <w:bCs/>
          <w:color w:val="000000"/>
          <w:sz w:val="32"/>
          <w:szCs w:val="32"/>
        </w:rPr>
        <w:t>4505</w:t>
      </w:r>
      <w:r>
        <w:rPr>
          <w:rFonts w:hint="default" w:ascii="Times New Roman" w:hAnsi="Times New Roman" w:eastAsia="方正仿宋简体" w:cs="Times New Roman"/>
          <w:b/>
          <w:bCs/>
          <w:color w:val="000000"/>
          <w:sz w:val="32"/>
          <w:szCs w:val="32"/>
          <w:lang w:val="en-US" w:eastAsia="zh-CN"/>
        </w:rPr>
        <w:t>.</w:t>
      </w:r>
      <w:r>
        <w:rPr>
          <w:rFonts w:hint="default" w:ascii="Times New Roman" w:hAnsi="Times New Roman" w:eastAsia="方正仿宋简体" w:cs="Times New Roman"/>
          <w:b/>
          <w:bCs/>
          <w:color w:val="000000"/>
          <w:sz w:val="32"/>
          <w:szCs w:val="32"/>
        </w:rPr>
        <w:t>8</w:t>
      </w:r>
      <w:r>
        <w:rPr>
          <w:rFonts w:hint="default" w:ascii="Times New Roman" w:hAnsi="Times New Roman" w:eastAsia="方正仿宋简体" w:cs="Times New Roman"/>
          <w:b/>
          <w:bCs/>
          <w:color w:val="000000"/>
          <w:sz w:val="32"/>
          <w:szCs w:val="32"/>
          <w:lang w:val="en-US" w:eastAsia="zh-CN"/>
        </w:rPr>
        <w:t>7</w:t>
      </w:r>
      <w:r>
        <w:rPr>
          <w:rFonts w:hint="default" w:ascii="Times New Roman" w:hAnsi="Times New Roman" w:eastAsia="方正仿宋简体" w:cs="Times New Roman"/>
          <w:b/>
          <w:bCs/>
          <w:color w:val="auto"/>
          <w:sz w:val="32"/>
          <w:szCs w:val="32"/>
          <w:highlight w:val="none"/>
        </w:rPr>
        <w:t>万元，其中：基本支出</w:t>
      </w:r>
      <w:r>
        <w:rPr>
          <w:rFonts w:hint="default" w:ascii="Times New Roman" w:hAnsi="Times New Roman" w:eastAsia="方正仿宋简体" w:cs="Times New Roman"/>
          <w:b/>
          <w:bCs/>
          <w:sz w:val="32"/>
          <w:szCs w:val="32"/>
        </w:rPr>
        <w:t>809</w:t>
      </w:r>
      <w:r>
        <w:rPr>
          <w:rFonts w:hint="default"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rPr>
        <w:t>36</w:t>
      </w:r>
      <w:r>
        <w:rPr>
          <w:rFonts w:hint="default" w:ascii="Times New Roman" w:hAnsi="Times New Roman" w:eastAsia="方正仿宋简体" w:cs="Times New Roman"/>
          <w:b/>
          <w:bCs/>
          <w:color w:val="auto"/>
          <w:sz w:val="32"/>
          <w:szCs w:val="32"/>
          <w:highlight w:val="none"/>
        </w:rPr>
        <w:t>万元，占</w:t>
      </w:r>
      <w:r>
        <w:rPr>
          <w:rFonts w:hint="default" w:ascii="Times New Roman" w:hAnsi="Times New Roman" w:eastAsia="方正仿宋简体" w:cs="Times New Roman"/>
          <w:b/>
          <w:bCs/>
          <w:color w:val="auto"/>
          <w:sz w:val="32"/>
          <w:szCs w:val="32"/>
          <w:highlight w:val="none"/>
          <w:lang w:val="en-US" w:eastAsia="zh-CN"/>
        </w:rPr>
        <w:t>17.96</w:t>
      </w:r>
      <w:r>
        <w:rPr>
          <w:rFonts w:hint="default" w:ascii="Times New Roman" w:hAnsi="Times New Roman" w:eastAsia="方正仿宋简体" w:cs="Times New Roman"/>
          <w:b/>
          <w:bCs/>
          <w:color w:val="auto"/>
          <w:sz w:val="32"/>
          <w:szCs w:val="32"/>
          <w:highlight w:val="none"/>
        </w:rPr>
        <w:t>%；项目支出3696</w:t>
      </w:r>
      <w:r>
        <w:rPr>
          <w:rFonts w:hint="default" w:ascii="Times New Roman" w:hAnsi="Times New Roman" w:eastAsia="方正仿宋简体" w:cs="Times New Roman"/>
          <w:b/>
          <w:bCs/>
          <w:color w:val="auto"/>
          <w:sz w:val="32"/>
          <w:szCs w:val="32"/>
          <w:highlight w:val="none"/>
          <w:lang w:val="en-US" w:eastAsia="zh-CN"/>
        </w:rPr>
        <w:t>.</w:t>
      </w:r>
      <w:r>
        <w:rPr>
          <w:rFonts w:hint="default" w:ascii="Times New Roman" w:hAnsi="Times New Roman" w:eastAsia="方正仿宋简体" w:cs="Times New Roman"/>
          <w:b/>
          <w:bCs/>
          <w:color w:val="auto"/>
          <w:sz w:val="32"/>
          <w:szCs w:val="32"/>
          <w:highlight w:val="none"/>
        </w:rPr>
        <w:t>5</w:t>
      </w:r>
      <w:r>
        <w:rPr>
          <w:rFonts w:hint="default" w:ascii="Times New Roman" w:hAnsi="Times New Roman" w:eastAsia="方正仿宋简体" w:cs="Times New Roman"/>
          <w:b/>
          <w:bCs/>
          <w:color w:val="auto"/>
          <w:sz w:val="32"/>
          <w:szCs w:val="32"/>
          <w:highlight w:val="none"/>
          <w:lang w:val="en-US" w:eastAsia="zh-CN"/>
        </w:rPr>
        <w:t>1</w:t>
      </w:r>
      <w:r>
        <w:rPr>
          <w:rFonts w:hint="default" w:ascii="Times New Roman" w:hAnsi="Times New Roman" w:eastAsia="方正仿宋简体" w:cs="Times New Roman"/>
          <w:b/>
          <w:bCs/>
          <w:color w:val="auto"/>
          <w:sz w:val="32"/>
          <w:szCs w:val="32"/>
          <w:highlight w:val="none"/>
        </w:rPr>
        <w:t>万元，占</w:t>
      </w:r>
      <w:r>
        <w:rPr>
          <w:rFonts w:hint="default" w:ascii="Times New Roman" w:hAnsi="Times New Roman" w:eastAsia="方正仿宋简体" w:cs="Times New Roman"/>
          <w:b/>
          <w:bCs/>
          <w:color w:val="auto"/>
          <w:sz w:val="32"/>
          <w:szCs w:val="32"/>
          <w:highlight w:val="none"/>
          <w:lang w:val="en-US" w:eastAsia="zh-CN"/>
        </w:rPr>
        <w:t>82.04%</w:t>
      </w:r>
      <w:r>
        <w:rPr>
          <w:rFonts w:hint="default" w:ascii="Times New Roman" w:hAnsi="Times New Roman" w:eastAsia="方正仿宋简体" w:cs="Times New Roman"/>
          <w:b/>
          <w:bCs/>
          <w:color w:val="auto"/>
          <w:sz w:val="32"/>
          <w:szCs w:val="32"/>
          <w:highlight w:val="none"/>
          <w:lang w:eastAsia="zh-CN"/>
        </w:rPr>
        <w:t>。</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22"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r>
        <w:rPr>
          <w:rFonts w:hint="default" w:ascii="Times New Roman" w:hAnsi="Times New Roman" w:eastAsia="宋体" w:cs="Times New Roman"/>
          <w:b/>
          <w:bCs/>
          <w:lang w:eastAsia="zh-CN"/>
        </w:rPr>
        <w:pict>
          <v:shape id="Object 11" o:spid="_x0000_s1029" o:spt="75" type="#_x0000_t75" style="position:absolute;left:0pt;margin-left:48.95pt;margin-top:7.75pt;height:210.8pt;width:363.25pt;z-index:251661312;mso-width-relative:page;mso-height-relative:page;" o:ole="t" filled="f" o:preferrelative="t" stroked="f" coordsize="21600,21600">
            <v:path/>
            <v:fill on="f" focussize="0,0"/>
            <v:stroke on="f"/>
            <v:imagedata r:id="rId18" o:title=""/>
            <o:lock v:ext="edit" aspectratio="t"/>
          </v:shape>
          <o:OLEObject Type="Embed" ProgID="Excel.Chart.8" ShapeID="Object 11" DrawAspect="Content" ObjectID="_1468075727" r:id="rId17">
            <o:LockedField>false</o:LockedField>
          </o:OLEObject>
        </w:pic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pStyle w:val="31"/>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b/>
          <w:bCs/>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rPr>
          <w:rFonts w:hint="default" w:ascii="Times New Roman" w:hAnsi="Times New Roman" w:eastAsia="仿宋_GB2312" w:cs="Times New Roman"/>
          <w:b/>
          <w:bCs/>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（图3：支出决算结构图）</w:t>
      </w: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Style w:val="33"/>
          <w:rFonts w:hint="default" w:ascii="Times New Roman" w:hAnsi="Times New Roman" w:eastAsia="黑体" w:cs="Times New Roman"/>
          <w:b/>
          <w:bCs/>
          <w:color w:val="auto"/>
          <w:highlight w:val="none"/>
        </w:rPr>
      </w:pPr>
      <w:bookmarkStart w:id="28" w:name="_Toc15377208"/>
      <w:bookmarkStart w:id="29" w:name="_Toc15396606"/>
      <w:r>
        <w:rPr>
          <w:rFonts w:hint="default" w:ascii="Times New Roman" w:hAnsi="Times New Roman" w:eastAsia="黑体" w:cs="Times New Roman"/>
          <w:b/>
          <w:bCs/>
          <w:color w:val="auto"/>
          <w:sz w:val="32"/>
          <w:szCs w:val="32"/>
          <w:highlight w:val="none"/>
        </w:rPr>
        <w:t>四、财</w:t>
      </w:r>
      <w:r>
        <w:rPr>
          <w:rStyle w:val="33"/>
          <w:rFonts w:hint="default" w:ascii="Times New Roman" w:hAnsi="Times New Roman" w:eastAsia="黑体" w:cs="Times New Roman"/>
          <w:b/>
          <w:bCs/>
          <w:color w:val="auto"/>
          <w:highlight w:val="none"/>
        </w:rPr>
        <w:t>政拨款收入支出决算总体情况说明</w:t>
      </w:r>
      <w:bookmarkEnd w:id="28"/>
      <w:bookmarkEnd w:id="29"/>
    </w:p>
    <w:p>
      <w:pPr>
        <w:keepNext w:val="0"/>
        <w:keepLines w:val="0"/>
        <w:pageBreakBefore w:val="0"/>
        <w:numPr>
          <w:ilvl w:val="0"/>
          <w:numId w:val="0"/>
        </w:numPr>
        <w:kinsoku/>
        <w:wordWrap/>
        <w:overflowPunct/>
        <w:topLinePunct w:val="0"/>
        <w:autoSpaceDE/>
        <w:autoSpaceDN/>
        <w:bidi w:val="0"/>
        <w:adjustRightInd/>
        <w:snapToGrid w:val="0"/>
        <w:spacing w:line="576" w:lineRule="exact"/>
        <w:ind w:firstLine="643" w:firstLineChars="200"/>
        <w:jc w:val="both"/>
        <w:textAlignment w:val="auto"/>
        <w:outlineLvl w:val="0"/>
        <w:rPr>
          <w:rFonts w:hint="default" w:ascii="Times New Roman" w:hAnsi="Times New Roman" w:eastAsia="方正仿宋简体" w:cs="Times New Roman"/>
          <w:b/>
          <w:bCs/>
          <w:color w:val="000000"/>
          <w:sz w:val="32"/>
          <w:szCs w:val="32"/>
          <w:lang w:val="en-US" w:eastAsia="zh-CN"/>
        </w:rPr>
      </w:pPr>
      <w:r>
        <w:rPr>
          <w:rFonts w:hint="default" w:ascii="Times New Roman" w:hAnsi="Times New Roman" w:eastAsia="方正仿宋简体" w:cs="Times New Roman"/>
          <w:b/>
          <w:bCs/>
          <w:color w:val="000000"/>
          <w:kern w:val="2"/>
          <w:sz w:val="32"/>
          <w:szCs w:val="32"/>
          <w:lang w:val="en-US" w:eastAsia="zh-CN"/>
        </w:rPr>
        <w:t>2024</w:t>
      </w:r>
      <w:r>
        <w:rPr>
          <w:rFonts w:hint="default" w:ascii="Times New Roman" w:hAnsi="Times New Roman" w:eastAsia="方正仿宋简体" w:cs="Times New Roman"/>
          <w:b/>
          <w:bCs/>
          <w:color w:val="auto"/>
          <w:sz w:val="32"/>
          <w:szCs w:val="32"/>
          <w:highlight w:val="none"/>
        </w:rPr>
        <w:t>年财政拨款</w:t>
      </w:r>
      <w:r>
        <w:rPr>
          <w:rFonts w:hint="default" w:ascii="Times New Roman" w:hAnsi="Times New Roman" w:eastAsia="方正仿宋简体" w:cs="Times New Roman"/>
          <w:b/>
          <w:bCs/>
          <w:color w:val="auto"/>
          <w:sz w:val="32"/>
          <w:szCs w:val="32"/>
          <w:highlight w:val="none"/>
          <w:lang w:eastAsia="zh-CN"/>
        </w:rPr>
        <w:t>收入</w:t>
      </w:r>
      <w:r>
        <w:rPr>
          <w:rFonts w:hint="default" w:ascii="Times New Roman" w:hAnsi="Times New Roman" w:eastAsia="方正仿宋简体" w:cs="Times New Roman"/>
          <w:b/>
          <w:bCs/>
          <w:color w:val="auto"/>
          <w:sz w:val="32"/>
          <w:szCs w:val="32"/>
          <w:highlight w:val="none"/>
        </w:rPr>
        <w:t>、支</w:t>
      </w:r>
      <w:r>
        <w:rPr>
          <w:rFonts w:hint="default" w:ascii="Times New Roman" w:hAnsi="Times New Roman" w:eastAsia="方正仿宋简体" w:cs="Times New Roman"/>
          <w:b/>
          <w:bCs/>
          <w:color w:val="auto"/>
          <w:sz w:val="32"/>
          <w:szCs w:val="32"/>
          <w:highlight w:val="none"/>
          <w:lang w:eastAsia="zh-CN"/>
        </w:rPr>
        <w:t>出</w:t>
      </w:r>
      <w:r>
        <w:rPr>
          <w:rFonts w:hint="default" w:ascii="Times New Roman" w:hAnsi="Times New Roman" w:eastAsia="方正仿宋简体" w:cs="Times New Roman"/>
          <w:b/>
          <w:bCs/>
          <w:color w:val="auto"/>
          <w:sz w:val="32"/>
          <w:szCs w:val="32"/>
          <w:highlight w:val="none"/>
        </w:rPr>
        <w:t>总计</w:t>
      </w:r>
      <w:r>
        <w:rPr>
          <w:rFonts w:hint="default" w:ascii="Times New Roman" w:hAnsi="Times New Roman" w:eastAsia="方正仿宋简体" w:cs="Times New Roman"/>
          <w:b/>
          <w:bCs/>
          <w:color w:val="000000"/>
          <w:sz w:val="32"/>
          <w:szCs w:val="32"/>
        </w:rPr>
        <w:t>4505</w:t>
      </w:r>
      <w:r>
        <w:rPr>
          <w:rFonts w:hint="default" w:ascii="Times New Roman" w:hAnsi="Times New Roman" w:eastAsia="方正仿宋简体" w:cs="Times New Roman"/>
          <w:b/>
          <w:bCs/>
          <w:color w:val="000000"/>
          <w:sz w:val="32"/>
          <w:szCs w:val="32"/>
          <w:lang w:val="en-US" w:eastAsia="zh-CN"/>
        </w:rPr>
        <w:t>.</w:t>
      </w:r>
      <w:r>
        <w:rPr>
          <w:rFonts w:hint="default" w:ascii="Times New Roman" w:hAnsi="Times New Roman" w:eastAsia="方正仿宋简体" w:cs="Times New Roman"/>
          <w:b/>
          <w:bCs/>
          <w:color w:val="000000"/>
          <w:sz w:val="32"/>
          <w:szCs w:val="32"/>
        </w:rPr>
        <w:t>8</w:t>
      </w:r>
      <w:r>
        <w:rPr>
          <w:rFonts w:hint="default" w:ascii="Times New Roman" w:hAnsi="Times New Roman" w:eastAsia="方正仿宋简体" w:cs="Times New Roman"/>
          <w:b/>
          <w:bCs/>
          <w:color w:val="000000"/>
          <w:sz w:val="32"/>
          <w:szCs w:val="32"/>
          <w:lang w:val="en-US" w:eastAsia="zh-CN"/>
        </w:rPr>
        <w:t>7</w:t>
      </w:r>
      <w:r>
        <w:rPr>
          <w:rFonts w:hint="default" w:ascii="Times New Roman" w:hAnsi="Times New Roman" w:eastAsia="方正仿宋简体" w:cs="Times New Roman"/>
          <w:b/>
          <w:bCs/>
          <w:color w:val="auto"/>
          <w:sz w:val="32"/>
          <w:szCs w:val="32"/>
          <w:highlight w:val="none"/>
        </w:rPr>
        <w:t>万元。</w:t>
      </w:r>
      <w:r>
        <w:rPr>
          <w:rFonts w:hint="default" w:ascii="Times New Roman" w:hAnsi="Times New Roman" w:eastAsia="方正仿宋简体" w:cs="Times New Roman"/>
          <w:b/>
          <w:bCs/>
          <w:color w:val="000000"/>
          <w:sz w:val="32"/>
          <w:szCs w:val="32"/>
        </w:rPr>
        <w:t>与202</w:t>
      </w:r>
      <w:r>
        <w:rPr>
          <w:rFonts w:hint="default" w:ascii="Times New Roman" w:hAnsi="Times New Roman" w:eastAsia="方正仿宋简体" w:cs="Times New Roman"/>
          <w:b/>
          <w:bCs/>
          <w:color w:val="000000"/>
          <w:sz w:val="32"/>
          <w:szCs w:val="32"/>
          <w:lang w:val="en-US" w:eastAsia="zh-CN"/>
        </w:rPr>
        <w:t>3</w:t>
      </w:r>
      <w:r>
        <w:rPr>
          <w:rFonts w:hint="default" w:ascii="Times New Roman" w:hAnsi="Times New Roman" w:eastAsia="方正仿宋简体" w:cs="Times New Roman"/>
          <w:b/>
          <w:bCs/>
          <w:color w:val="000000"/>
          <w:sz w:val="32"/>
          <w:szCs w:val="32"/>
        </w:rPr>
        <w:t>年相比，收、支总计各增加</w:t>
      </w:r>
      <w:r>
        <w:rPr>
          <w:rFonts w:hint="default" w:ascii="Times New Roman" w:hAnsi="Times New Roman" w:eastAsia="方正仿宋简体" w:cs="Times New Roman"/>
          <w:b/>
          <w:bCs/>
          <w:color w:val="000000"/>
          <w:sz w:val="32"/>
          <w:szCs w:val="32"/>
          <w:lang w:val="en-US" w:eastAsia="zh-CN"/>
        </w:rPr>
        <w:t>823.36</w:t>
      </w:r>
      <w:r>
        <w:rPr>
          <w:rFonts w:hint="default" w:ascii="Times New Roman" w:hAnsi="Times New Roman" w:eastAsia="方正仿宋简体" w:cs="Times New Roman"/>
          <w:b/>
          <w:bCs/>
          <w:color w:val="000000"/>
          <w:sz w:val="32"/>
          <w:szCs w:val="32"/>
        </w:rPr>
        <w:t>万元，增长22.36%。主要变动原因</w:t>
      </w:r>
      <w:r>
        <w:rPr>
          <w:rFonts w:hint="default" w:ascii="Times New Roman" w:hAnsi="Times New Roman" w:eastAsia="方正仿宋简体" w:cs="Times New Roman"/>
          <w:b/>
          <w:bCs/>
          <w:color w:val="000000"/>
          <w:sz w:val="32"/>
          <w:szCs w:val="32"/>
          <w:lang w:eastAsia="zh-CN"/>
        </w:rPr>
        <w:t>：一是项目支出</w:t>
      </w:r>
      <w:r>
        <w:rPr>
          <w:rFonts w:hint="default" w:ascii="Times New Roman" w:hAnsi="Times New Roman" w:eastAsia="方正仿宋简体" w:cs="Times New Roman"/>
          <w:b/>
          <w:bCs/>
          <w:sz w:val="32"/>
          <w:szCs w:val="32"/>
        </w:rPr>
        <w:t>“圆梦助学”工程</w:t>
      </w:r>
      <w:r>
        <w:rPr>
          <w:rFonts w:hint="default" w:ascii="Times New Roman" w:hAnsi="Times New Roman" w:eastAsia="方正仿宋简体" w:cs="Times New Roman"/>
          <w:b/>
          <w:bCs/>
          <w:sz w:val="32"/>
          <w:szCs w:val="32"/>
          <w:lang w:eastAsia="zh-CN"/>
        </w:rPr>
        <w:t>根据当年</w:t>
      </w:r>
      <w:r>
        <w:rPr>
          <w:rFonts w:hint="default" w:ascii="Times New Roman" w:hAnsi="Times New Roman" w:eastAsia="方正仿宋简体" w:cs="Times New Roman"/>
          <w:b/>
          <w:bCs/>
          <w:sz w:val="32"/>
          <w:szCs w:val="32"/>
        </w:rPr>
        <w:t>残疾人新生和残疾人子女新生</w:t>
      </w:r>
      <w:r>
        <w:rPr>
          <w:rFonts w:hint="default" w:ascii="Times New Roman" w:hAnsi="Times New Roman" w:eastAsia="方正仿宋简体" w:cs="Times New Roman"/>
          <w:b/>
          <w:bCs/>
          <w:sz w:val="32"/>
          <w:szCs w:val="32"/>
          <w:lang w:eastAsia="zh-CN"/>
        </w:rPr>
        <w:t>实际</w:t>
      </w:r>
      <w:r>
        <w:rPr>
          <w:rFonts w:hint="default" w:ascii="Times New Roman" w:hAnsi="Times New Roman" w:eastAsia="方正仿宋简体" w:cs="Times New Roman"/>
          <w:b/>
          <w:bCs/>
          <w:sz w:val="32"/>
          <w:szCs w:val="32"/>
        </w:rPr>
        <w:t>申请批准人数</w:t>
      </w:r>
      <w:r>
        <w:rPr>
          <w:rFonts w:hint="default" w:ascii="Times New Roman" w:hAnsi="Times New Roman" w:eastAsia="方正仿宋简体" w:cs="Times New Roman"/>
          <w:b/>
          <w:bCs/>
          <w:sz w:val="32"/>
          <w:szCs w:val="32"/>
          <w:lang w:eastAsia="zh-CN"/>
        </w:rPr>
        <w:t>拨付资金，</w:t>
      </w:r>
      <w:r>
        <w:rPr>
          <w:rFonts w:hint="default" w:ascii="Times New Roman" w:hAnsi="Times New Roman" w:eastAsia="方正仿宋简体" w:cs="Times New Roman"/>
          <w:b/>
          <w:bCs/>
          <w:color w:val="000000"/>
          <w:sz w:val="32"/>
          <w:szCs w:val="32"/>
        </w:rPr>
        <w:t>较上年增加</w:t>
      </w:r>
      <w:r>
        <w:rPr>
          <w:rFonts w:hint="default" w:ascii="Times New Roman" w:hAnsi="Times New Roman" w:eastAsia="方正仿宋简体" w:cs="Times New Roman"/>
          <w:b/>
          <w:bCs/>
          <w:color w:val="000000"/>
          <w:sz w:val="32"/>
          <w:szCs w:val="32"/>
          <w:lang w:eastAsia="zh-CN"/>
        </w:rPr>
        <w:t>；二是</w:t>
      </w:r>
      <w:r>
        <w:rPr>
          <w:rFonts w:hint="default" w:ascii="Times New Roman" w:hAnsi="Times New Roman" w:eastAsia="方正仿宋简体" w:cs="Times New Roman"/>
          <w:b/>
          <w:bCs/>
          <w:color w:val="000000"/>
          <w:sz w:val="32"/>
          <w:szCs w:val="32"/>
          <w:lang w:val="en-US" w:eastAsia="zh-CN"/>
        </w:rPr>
        <w:t>市残就所新增市本级残疾人托养中心建设项目支出932.31万元。</w:t>
      </w:r>
    </w:p>
    <w:p>
      <w:pPr>
        <w:pageBreakBefore w:val="0"/>
        <w:widowControl w:val="0"/>
        <w:kinsoku/>
        <w:wordWrap/>
        <w:overflowPunct/>
        <w:topLinePunct w:val="0"/>
        <w:autoSpaceDE/>
        <w:autoSpaceDN/>
        <w:bidi w:val="0"/>
        <w:adjustRightInd/>
        <w:snapToGrid/>
        <w:spacing w:line="600" w:lineRule="exact"/>
        <w:ind w:firstLine="422"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cs="Times New Roman"/>
          <w:b/>
          <w:bCs/>
          <w:lang w:eastAsia="zh-CN"/>
        </w:rPr>
        <w:pict>
          <v:shape id="_x0000_s1030" o:spid="_x0000_s1030" o:spt="75" type="#_x0000_t75" style="position:absolute;left:0pt;margin-left:35.25pt;margin-top:7.6pt;height:244.4pt;width:375.05pt;z-index:251662336;mso-width-relative:page;mso-height-relative:page;" o:ole="t" filled="f" o:preferrelative="t" stroked="f" coordsize="21600,21600">
            <v:path/>
            <v:fill on="f" focussize="0,0"/>
            <v:stroke on="f"/>
            <v:imagedata r:id="rId20" o:title=""/>
            <o:lock v:ext="edit" aspectratio="t"/>
          </v:shape>
          <o:OLEObject Type="Embed" ProgID="Excel.Chart.8" ShapeID="_x0000_s1030" DrawAspect="Content" ObjectID="_1468075728" r:id="rId19">
            <o:LockedField>false</o:LockedField>
          </o:OLEObject>
        </w:pict>
      </w: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p>
    <w:p>
      <w:pPr>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（图4：财政拨款收、支决算总计变动情况）</w:t>
      </w: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Style w:val="33"/>
          <w:rFonts w:hint="default" w:ascii="Times New Roman" w:hAnsi="Times New Roman" w:eastAsia="黑体" w:cs="Times New Roman"/>
          <w:b/>
          <w:bCs/>
          <w:color w:val="auto"/>
          <w:highlight w:val="none"/>
        </w:rPr>
      </w:pPr>
      <w:bookmarkStart w:id="30" w:name="_Toc15377209"/>
      <w:bookmarkStart w:id="31" w:name="_Toc15396607"/>
      <w:r>
        <w:rPr>
          <w:rFonts w:hint="default" w:ascii="Times New Roman" w:hAnsi="Times New Roman" w:eastAsia="黑体" w:cs="Times New Roman"/>
          <w:b/>
          <w:bCs/>
          <w:color w:val="auto"/>
          <w:sz w:val="32"/>
          <w:szCs w:val="32"/>
          <w:highlight w:val="none"/>
        </w:rPr>
        <w:t>五、一</w:t>
      </w:r>
      <w:r>
        <w:rPr>
          <w:rStyle w:val="33"/>
          <w:rFonts w:hint="default" w:ascii="Times New Roman" w:hAnsi="Times New Roman" w:eastAsia="黑体" w:cs="Times New Roman"/>
          <w:b/>
          <w:bCs/>
          <w:color w:val="auto"/>
          <w:highlight w:val="none"/>
        </w:rPr>
        <w:t>般公共预算财政拨款支出决算情况说明</w:t>
      </w:r>
      <w:bookmarkEnd w:id="30"/>
      <w:bookmarkEnd w:id="31"/>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2"/>
        <w:rPr>
          <w:rFonts w:hint="default" w:ascii="Times New Roman" w:hAnsi="Times New Roman" w:eastAsia="楷体_GB2312" w:cs="Times New Roman"/>
          <w:b/>
          <w:bCs/>
          <w:color w:val="auto"/>
          <w:sz w:val="32"/>
          <w:szCs w:val="32"/>
          <w:highlight w:val="none"/>
        </w:rPr>
      </w:pPr>
      <w:bookmarkStart w:id="32" w:name="_Toc15377210"/>
      <w:r>
        <w:rPr>
          <w:rFonts w:hint="default" w:ascii="Times New Roman" w:hAnsi="Times New Roman" w:eastAsia="楷体_GB2312" w:cs="Times New Roman"/>
          <w:b/>
          <w:bCs/>
          <w:color w:val="auto"/>
          <w:sz w:val="32"/>
          <w:szCs w:val="32"/>
          <w:highlight w:val="none"/>
        </w:rPr>
        <w:t>（一）一般公共预算财政拨款支出决算总体情况</w:t>
      </w:r>
      <w:bookmarkEnd w:id="32"/>
    </w:p>
    <w:p>
      <w:pPr>
        <w:keepNext w:val="0"/>
        <w:keepLines w:val="0"/>
        <w:pageBreakBefore w:val="0"/>
        <w:numPr>
          <w:ilvl w:val="0"/>
          <w:numId w:val="0"/>
        </w:numPr>
        <w:kinsoku/>
        <w:wordWrap/>
        <w:overflowPunct/>
        <w:topLinePunct w:val="0"/>
        <w:autoSpaceDE/>
        <w:autoSpaceDN/>
        <w:bidi w:val="0"/>
        <w:adjustRightInd/>
        <w:snapToGrid w:val="0"/>
        <w:spacing w:line="576" w:lineRule="exact"/>
        <w:ind w:firstLine="643" w:firstLineChars="200"/>
        <w:jc w:val="both"/>
        <w:textAlignment w:val="auto"/>
        <w:outlineLvl w:val="0"/>
        <w:rPr>
          <w:rFonts w:hint="default" w:ascii="Times New Roman" w:hAnsi="Times New Roman" w:eastAsia="方正仿宋简体" w:cs="Times New Roman"/>
          <w:b/>
          <w:bCs/>
          <w:color w:val="000000"/>
          <w:sz w:val="32"/>
          <w:szCs w:val="32"/>
          <w:lang w:val="en-US" w:eastAsia="zh-CN"/>
        </w:rPr>
      </w:pPr>
      <w:r>
        <w:rPr>
          <w:rFonts w:hint="default" w:ascii="Times New Roman" w:hAnsi="Times New Roman" w:eastAsia="方正仿宋简体" w:cs="Times New Roman"/>
          <w:b/>
          <w:bCs/>
          <w:color w:val="auto"/>
          <w:sz w:val="32"/>
          <w:szCs w:val="32"/>
          <w:highlight w:val="none"/>
          <w:lang w:val="en-US" w:eastAsia="zh-CN"/>
        </w:rPr>
        <w:t>2024</w:t>
      </w:r>
      <w:r>
        <w:rPr>
          <w:rFonts w:hint="default" w:ascii="Times New Roman" w:hAnsi="Times New Roman" w:eastAsia="方正仿宋简体" w:cs="Times New Roman"/>
          <w:b/>
          <w:bCs/>
          <w:color w:val="auto"/>
          <w:sz w:val="32"/>
          <w:szCs w:val="32"/>
          <w:highlight w:val="none"/>
        </w:rPr>
        <w:t>年一般公共预算财政拨款支出</w:t>
      </w:r>
      <w:r>
        <w:rPr>
          <w:rFonts w:hint="default" w:ascii="Times New Roman" w:hAnsi="Times New Roman" w:eastAsia="方正仿宋简体" w:cs="Times New Roman"/>
          <w:b/>
          <w:bCs/>
          <w:color w:val="000000"/>
          <w:sz w:val="32"/>
          <w:szCs w:val="32"/>
          <w:lang w:val="en-US" w:eastAsia="zh-CN"/>
        </w:rPr>
        <w:t>3344.72</w:t>
      </w:r>
      <w:r>
        <w:rPr>
          <w:rFonts w:hint="default" w:ascii="Times New Roman" w:hAnsi="Times New Roman" w:eastAsia="方正仿宋简体" w:cs="Times New Roman"/>
          <w:b/>
          <w:bCs/>
          <w:color w:val="auto"/>
          <w:sz w:val="32"/>
          <w:szCs w:val="32"/>
          <w:highlight w:val="none"/>
        </w:rPr>
        <w:t>万元，占本年支出合计的</w:t>
      </w:r>
      <w:r>
        <w:rPr>
          <w:rFonts w:hint="default" w:ascii="Times New Roman" w:hAnsi="Times New Roman" w:eastAsia="方正仿宋简体" w:cs="Times New Roman"/>
          <w:b/>
          <w:bCs/>
          <w:color w:val="auto"/>
          <w:sz w:val="32"/>
          <w:szCs w:val="32"/>
          <w:highlight w:val="none"/>
          <w:lang w:val="en-US" w:eastAsia="zh-CN"/>
        </w:rPr>
        <w:t>74.23</w:t>
      </w:r>
      <w:r>
        <w:rPr>
          <w:rFonts w:hint="default" w:ascii="Times New Roman" w:hAnsi="Times New Roman" w:eastAsia="方正仿宋简体" w:cs="Times New Roman"/>
          <w:b/>
          <w:bCs/>
          <w:color w:val="auto"/>
          <w:sz w:val="32"/>
          <w:szCs w:val="32"/>
          <w:highlight w:val="none"/>
        </w:rPr>
        <w:t>%。与20</w:t>
      </w:r>
      <w:r>
        <w:rPr>
          <w:rFonts w:hint="default" w:ascii="Times New Roman" w:hAnsi="Times New Roman" w:eastAsia="方正仿宋简体" w:cs="Times New Roman"/>
          <w:b/>
          <w:bCs/>
          <w:color w:val="auto"/>
          <w:sz w:val="32"/>
          <w:szCs w:val="32"/>
          <w:highlight w:val="none"/>
          <w:lang w:val="en-US" w:eastAsia="zh-CN"/>
        </w:rPr>
        <w:t>23</w:t>
      </w:r>
      <w:r>
        <w:rPr>
          <w:rFonts w:hint="default" w:ascii="Times New Roman" w:hAnsi="Times New Roman" w:eastAsia="方正仿宋简体" w:cs="Times New Roman"/>
          <w:b/>
          <w:bCs/>
          <w:color w:val="auto"/>
          <w:sz w:val="32"/>
          <w:szCs w:val="32"/>
          <w:highlight w:val="none"/>
        </w:rPr>
        <w:t>年相比，一般公共预算财政拨款</w:t>
      </w:r>
      <w:r>
        <w:rPr>
          <w:rFonts w:hint="default" w:ascii="Times New Roman" w:hAnsi="Times New Roman" w:eastAsia="方正仿宋简体" w:cs="Times New Roman"/>
          <w:b/>
          <w:bCs/>
          <w:color w:val="auto"/>
          <w:sz w:val="32"/>
          <w:szCs w:val="32"/>
          <w:highlight w:val="none"/>
          <w:lang w:eastAsia="zh-CN"/>
        </w:rPr>
        <w:t>支出减少</w:t>
      </w:r>
      <w:r>
        <w:rPr>
          <w:rFonts w:hint="default" w:ascii="Times New Roman" w:hAnsi="Times New Roman" w:eastAsia="方正仿宋简体" w:cs="Times New Roman"/>
          <w:b/>
          <w:bCs/>
          <w:color w:val="auto"/>
          <w:sz w:val="32"/>
          <w:szCs w:val="32"/>
          <w:highlight w:val="none"/>
          <w:lang w:val="en-US" w:eastAsia="zh-CN"/>
        </w:rPr>
        <w:t>201.08万</w:t>
      </w:r>
      <w:r>
        <w:rPr>
          <w:rFonts w:hint="default" w:ascii="Times New Roman" w:hAnsi="Times New Roman" w:eastAsia="方正仿宋简体" w:cs="Times New Roman"/>
          <w:b/>
          <w:bCs/>
          <w:color w:val="auto"/>
          <w:sz w:val="32"/>
          <w:szCs w:val="32"/>
          <w:highlight w:val="none"/>
        </w:rPr>
        <w:t>元，</w:t>
      </w:r>
      <w:r>
        <w:rPr>
          <w:rFonts w:hint="default" w:ascii="Times New Roman" w:hAnsi="Times New Roman" w:eastAsia="方正仿宋简体" w:cs="Times New Roman"/>
          <w:b/>
          <w:bCs/>
          <w:color w:val="auto"/>
          <w:sz w:val="32"/>
          <w:szCs w:val="32"/>
          <w:highlight w:val="none"/>
          <w:lang w:eastAsia="zh-CN"/>
        </w:rPr>
        <w:t>减幅</w:t>
      </w:r>
      <w:r>
        <w:rPr>
          <w:rFonts w:hint="default" w:ascii="Times New Roman" w:hAnsi="Times New Roman" w:eastAsia="方正仿宋简体" w:cs="Times New Roman"/>
          <w:b/>
          <w:bCs/>
          <w:color w:val="auto"/>
          <w:sz w:val="32"/>
          <w:szCs w:val="32"/>
          <w:highlight w:val="none"/>
        </w:rPr>
        <w:t>5.67%。</w:t>
      </w:r>
      <w:r>
        <w:rPr>
          <w:rFonts w:hint="default" w:ascii="Times New Roman" w:hAnsi="Times New Roman" w:eastAsia="方正仿宋简体" w:cs="Times New Roman"/>
          <w:b/>
          <w:bCs/>
          <w:color w:val="auto"/>
          <w:sz w:val="32"/>
          <w:szCs w:val="32"/>
          <w:highlight w:val="none"/>
          <w:lang w:eastAsia="zh-CN"/>
        </w:rPr>
        <w:t>主要变动原因是：</w:t>
      </w:r>
      <w:r>
        <w:rPr>
          <w:rFonts w:hint="default" w:ascii="Times New Roman" w:hAnsi="Times New Roman" w:eastAsia="方正仿宋简体" w:cs="Times New Roman"/>
          <w:b/>
          <w:bCs/>
          <w:color w:val="000000"/>
          <w:kern w:val="0"/>
          <w:sz w:val="32"/>
          <w:szCs w:val="32"/>
          <w:highlight w:val="none"/>
          <w:lang w:val="en-US" w:eastAsia="zh-CN" w:bidi="ar-SA"/>
        </w:rPr>
        <w:t>2023年部门财政拨款收支预算中安排了励志文化广场提升改造项目、泸州市北部残疾人康复中心项目，2024年未作安排。</w:t>
      </w:r>
    </w:p>
    <w:p>
      <w:pPr>
        <w:snapToGrid w:val="0"/>
        <w:spacing w:line="600" w:lineRule="exact"/>
        <w:ind w:firstLine="422" w:firstLineChars="200"/>
        <w:rPr>
          <w:rFonts w:hint="default" w:ascii="Times New Roman" w:hAnsi="Times New Roman" w:eastAsia="仿宋_GB2312" w:cs="Times New Roman"/>
          <w:b/>
          <w:bCs/>
          <w:sz w:val="32"/>
          <w:szCs w:val="32"/>
          <w:lang w:eastAsia="zh-CN"/>
        </w:rPr>
      </w:pPr>
      <w:r>
        <w:rPr>
          <w:rFonts w:hint="default" w:ascii="Times New Roman" w:hAnsi="Times New Roman" w:cs="Times New Roman"/>
          <w:b/>
          <w:bCs/>
          <w:lang w:eastAsia="zh-CN"/>
        </w:rPr>
        <w:pict>
          <v:shape id="_x0000_s1031" o:spid="_x0000_s1031" o:spt="75" type="#_x0000_t75" style="position:absolute;left:0pt;margin-left:42pt;margin-top:1.4pt;height:225.95pt;width:341.75pt;z-index:251663360;mso-width-relative:page;mso-height-relative:page;" o:ole="t" filled="f" o:preferrelative="t" stroked="f" coordsize="21600,21600">
            <v:path/>
            <v:fill on="f" focussize="0,0"/>
            <v:stroke on="f"/>
            <v:imagedata r:id="rId22" o:title=""/>
            <o:lock v:ext="edit" aspectratio="t"/>
          </v:shape>
          <o:OLEObject Type="Embed" ProgID="Excel.Chart.8" ShapeID="_x0000_s1031" DrawAspect="Content" ObjectID="_1468075729" r:id="rId21">
            <o:LockedField>false</o:LockedField>
          </o:OLEObject>
        </w:pict>
      </w: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p>
    <w:p>
      <w:pPr>
        <w:pStyle w:val="8"/>
        <w:rPr>
          <w:rFonts w:hint="default" w:ascii="Times New Roman" w:hAnsi="Times New Roman" w:eastAsia="仿宋_GB2312" w:cs="Times New Roman"/>
          <w:b/>
          <w:bCs/>
          <w:color w:val="auto"/>
          <w:kern w:val="2"/>
          <w:sz w:val="32"/>
          <w:szCs w:val="32"/>
          <w:highlight w:val="none"/>
          <w:lang w:val="en-US" w:eastAsia="zh-CN" w:bidi="ar-SA"/>
        </w:rPr>
      </w:pPr>
    </w:p>
    <w:p>
      <w:pPr>
        <w:rPr>
          <w:rFonts w:hint="default" w:ascii="Times New Roman" w:hAnsi="Times New Roman" w:eastAsia="仿宋_GB2312" w:cs="Times New Roman"/>
          <w:b/>
          <w:bCs/>
          <w:color w:val="auto"/>
          <w:kern w:val="2"/>
          <w:sz w:val="32"/>
          <w:szCs w:val="32"/>
          <w:highlight w:val="none"/>
          <w:lang w:val="en-US" w:eastAsia="zh-CN" w:bidi="ar-SA"/>
        </w:rPr>
      </w:pPr>
    </w:p>
    <w:p>
      <w:pPr>
        <w:pStyle w:val="8"/>
        <w:rPr>
          <w:rFonts w:hint="default" w:ascii="Times New Roman" w:hAnsi="Times New Roman" w:eastAsia="仿宋_GB2312" w:cs="Times New Roman"/>
          <w:b/>
          <w:bCs/>
          <w:color w:val="auto"/>
          <w:kern w:val="2"/>
          <w:sz w:val="32"/>
          <w:szCs w:val="32"/>
          <w:highlight w:val="none"/>
          <w:lang w:val="en-US" w:eastAsia="zh-CN" w:bidi="ar-SA"/>
        </w:rPr>
      </w:pPr>
    </w:p>
    <w:p>
      <w:pPr>
        <w:rPr>
          <w:rFonts w:hint="default" w:ascii="Times New Roman" w:hAnsi="Times New Roman" w:eastAsia="仿宋_GB2312" w:cs="Times New Roman"/>
          <w:b/>
          <w:bCs/>
          <w:color w:val="auto"/>
          <w:kern w:val="2"/>
          <w:sz w:val="32"/>
          <w:szCs w:val="32"/>
          <w:highlight w:val="none"/>
          <w:lang w:val="en-US" w:eastAsia="zh-CN" w:bidi="ar-SA"/>
        </w:rPr>
      </w:pPr>
    </w:p>
    <w:p>
      <w:pPr>
        <w:pStyle w:val="8"/>
        <w:rPr>
          <w:rFonts w:hint="default" w:ascii="Times New Roman" w:hAnsi="Times New Roman" w:eastAsia="仿宋_GB2312" w:cs="Times New Roman"/>
          <w:b/>
          <w:bCs/>
          <w:color w:val="auto"/>
          <w:kern w:val="2"/>
          <w:sz w:val="32"/>
          <w:szCs w:val="32"/>
          <w:highlight w:val="none"/>
          <w:lang w:val="en-US" w:eastAsia="zh-CN" w:bidi="ar-SA"/>
        </w:rPr>
      </w:pPr>
    </w:p>
    <w:p>
      <w:pPr>
        <w:rPr>
          <w:rFonts w:hint="default" w:ascii="Times New Roman" w:hAnsi="Times New Roman" w:eastAsia="仿宋_GB2312" w:cs="Times New Roman"/>
          <w:b/>
          <w:bCs/>
          <w:color w:val="auto"/>
          <w:kern w:val="2"/>
          <w:sz w:val="32"/>
          <w:szCs w:val="32"/>
          <w:highlight w:val="none"/>
          <w:lang w:val="en-US" w:eastAsia="zh-CN" w:bidi="ar-SA"/>
        </w:rPr>
      </w:pPr>
    </w:p>
    <w:p>
      <w:pPr>
        <w:rPr>
          <w:rFonts w:hint="default" w:ascii="Times New Roman" w:hAnsi="Times New Roman" w:eastAsia="仿宋_GB2312" w:cs="Times New Roman"/>
          <w:b/>
          <w:bCs/>
          <w:color w:val="auto"/>
          <w:kern w:val="2"/>
          <w:sz w:val="32"/>
          <w:szCs w:val="32"/>
          <w:highlight w:val="none"/>
          <w:lang w:val="en-US" w:eastAsia="zh-CN" w:bidi="ar-SA"/>
        </w:rPr>
      </w:pPr>
    </w:p>
    <w:p>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（图5：一般公共预算财政拨款支出决算变动情况）</w:t>
      </w:r>
    </w:p>
    <w:p>
      <w:pPr>
        <w:spacing w:line="600" w:lineRule="exact"/>
        <w:ind w:firstLine="643" w:firstLineChars="200"/>
        <w:outlineLvl w:val="2"/>
        <w:rPr>
          <w:rFonts w:hint="default" w:ascii="Times New Roman" w:hAnsi="Times New Roman" w:eastAsia="楷体_GB2312" w:cs="Times New Roman"/>
          <w:b/>
          <w:bCs/>
          <w:color w:val="auto"/>
          <w:sz w:val="32"/>
          <w:szCs w:val="32"/>
          <w:highlight w:val="none"/>
        </w:rPr>
      </w:pPr>
      <w:bookmarkStart w:id="33" w:name="_Toc15377211"/>
      <w:r>
        <w:rPr>
          <w:rFonts w:hint="default" w:ascii="Times New Roman" w:hAnsi="Times New Roman" w:eastAsia="楷体_GB2312" w:cs="Times New Roman"/>
          <w:b/>
          <w:bCs/>
          <w:color w:val="auto"/>
          <w:sz w:val="32"/>
          <w:szCs w:val="32"/>
          <w:highlight w:val="none"/>
        </w:rPr>
        <w:t>（二）一般公共预算财政拨款支出决算结构情况</w:t>
      </w:r>
      <w:bookmarkEnd w:id="33"/>
    </w:p>
    <w:p>
      <w:pPr>
        <w:spacing w:line="600" w:lineRule="exact"/>
        <w:ind w:firstLine="640"/>
        <w:rPr>
          <w:rFonts w:hint="default" w:ascii="Times New Roman" w:hAnsi="Times New Roman" w:eastAsia="方正仿宋简体" w:cs="Times New Roman"/>
          <w:b/>
          <w:bCs/>
          <w:sz w:val="32"/>
          <w:szCs w:val="32"/>
        </w:rPr>
      </w:pPr>
      <w:r>
        <w:rPr>
          <w:rFonts w:hint="default" w:ascii="Times New Roman" w:hAnsi="Times New Roman" w:eastAsia="仿宋_GB2312" w:cs="Times New Roman"/>
          <w:b/>
          <w:bCs/>
          <w:sz w:val="32"/>
          <w:szCs w:val="32"/>
          <w:lang w:eastAsia="zh-CN"/>
        </w:rPr>
        <w:pict>
          <v:shape id="_x0000_s1032" o:spid="_x0000_s1032" o:spt="75" type="#_x0000_t75" style="position:absolute;left:0pt;margin-left:77.9pt;margin-top:101.6pt;height:175.15pt;width:339.2pt;z-index:251664384;mso-width-relative:page;mso-height-relative:page;" o:ole="t" filled="f" o:preferrelative="t" stroked="f" coordsize="21600,21600">
            <v:path/>
            <v:fill on="f" focussize="0,0"/>
            <v:stroke on="f"/>
            <v:imagedata r:id="rId24" o:title=""/>
            <o:lock v:ext="edit" aspectratio="t"/>
          </v:shape>
          <o:OLEObject Type="Embed" ProgID="Excel.Chart.8" ShapeID="_x0000_s1032" DrawAspect="Content" ObjectID="_1468075730" r:id="rId23">
            <o:LockedField>false</o:LockedField>
          </o:OLEObject>
        </w:pict>
      </w:r>
      <w:r>
        <w:rPr>
          <w:rFonts w:hint="default" w:ascii="Times New Roman" w:hAnsi="Times New Roman" w:eastAsia="方正仿宋简体" w:cs="Times New Roman"/>
          <w:b/>
          <w:bCs/>
          <w:color w:val="auto"/>
          <w:sz w:val="32"/>
          <w:szCs w:val="32"/>
          <w:highlight w:val="none"/>
          <w:lang w:eastAsia="zh-CN"/>
        </w:rPr>
        <w:t>202</w:t>
      </w:r>
      <w:r>
        <w:rPr>
          <w:rFonts w:hint="default" w:ascii="Times New Roman" w:hAnsi="Times New Roman" w:eastAsia="方正仿宋简体" w:cs="Times New Roman"/>
          <w:b/>
          <w:bCs/>
          <w:color w:val="auto"/>
          <w:sz w:val="32"/>
          <w:szCs w:val="32"/>
          <w:highlight w:val="none"/>
          <w:lang w:val="en-US" w:eastAsia="zh-CN"/>
        </w:rPr>
        <w:t>4</w:t>
      </w:r>
      <w:r>
        <w:rPr>
          <w:rFonts w:hint="default" w:ascii="Times New Roman" w:hAnsi="Times New Roman" w:eastAsia="方正仿宋简体" w:cs="Times New Roman"/>
          <w:b/>
          <w:bCs/>
          <w:color w:val="auto"/>
          <w:sz w:val="32"/>
          <w:szCs w:val="32"/>
          <w:highlight w:val="none"/>
        </w:rPr>
        <w:t>年</w:t>
      </w:r>
      <w:r>
        <w:rPr>
          <w:rFonts w:hint="default" w:ascii="Times New Roman" w:hAnsi="Times New Roman" w:eastAsia="方正仿宋简体" w:cs="Times New Roman"/>
          <w:b/>
          <w:bCs/>
          <w:color w:val="auto"/>
          <w:sz w:val="32"/>
          <w:szCs w:val="32"/>
          <w:highlight w:val="none"/>
          <w:lang w:eastAsia="zh-CN"/>
        </w:rPr>
        <w:t>度</w:t>
      </w:r>
      <w:r>
        <w:rPr>
          <w:rFonts w:hint="default" w:ascii="Times New Roman" w:hAnsi="Times New Roman" w:eastAsia="方正仿宋简体" w:cs="Times New Roman"/>
          <w:b/>
          <w:bCs/>
          <w:color w:val="auto"/>
          <w:sz w:val="32"/>
          <w:szCs w:val="32"/>
          <w:highlight w:val="none"/>
        </w:rPr>
        <w:t>一般公共预算财政拨款支出</w:t>
      </w:r>
      <w:r>
        <w:rPr>
          <w:rFonts w:hint="default" w:ascii="Times New Roman" w:hAnsi="Times New Roman" w:eastAsia="方正仿宋简体" w:cs="Times New Roman"/>
          <w:b/>
          <w:bCs/>
          <w:color w:val="auto"/>
          <w:sz w:val="32"/>
          <w:szCs w:val="32"/>
          <w:highlight w:val="none"/>
          <w:lang w:val="en-US" w:eastAsia="zh-CN"/>
        </w:rPr>
        <w:t>3344.72</w:t>
      </w:r>
      <w:r>
        <w:rPr>
          <w:rFonts w:hint="default" w:ascii="Times New Roman" w:hAnsi="Times New Roman" w:eastAsia="方正仿宋简体" w:cs="Times New Roman"/>
          <w:b/>
          <w:bCs/>
          <w:color w:val="auto"/>
          <w:sz w:val="32"/>
          <w:szCs w:val="32"/>
          <w:highlight w:val="none"/>
        </w:rPr>
        <w:t>万元，主要用于以下方面</w:t>
      </w:r>
      <w:r>
        <w:rPr>
          <w:rFonts w:hint="default" w:ascii="Times New Roman" w:hAnsi="Times New Roman" w:eastAsia="方正仿宋简体" w:cs="Times New Roman"/>
          <w:b/>
          <w:bCs/>
          <w:color w:val="auto"/>
          <w:sz w:val="32"/>
          <w:szCs w:val="32"/>
          <w:highlight w:val="none"/>
          <w:lang w:eastAsia="zh-CN"/>
        </w:rPr>
        <w:t>：</w:t>
      </w:r>
      <w:r>
        <w:rPr>
          <w:rFonts w:hint="default" w:ascii="Times New Roman" w:hAnsi="Times New Roman" w:eastAsia="方正仿宋简体" w:cs="Times New Roman"/>
          <w:b/>
          <w:bCs/>
          <w:color w:val="auto"/>
          <w:sz w:val="32"/>
          <w:szCs w:val="32"/>
        </w:rPr>
        <w:t>社会保障和就业支出</w:t>
      </w:r>
      <w:r>
        <w:rPr>
          <w:rFonts w:hint="default" w:ascii="Times New Roman" w:hAnsi="Times New Roman" w:eastAsia="方正仿宋简体" w:cs="Times New Roman"/>
          <w:b/>
          <w:bCs/>
          <w:sz w:val="32"/>
          <w:szCs w:val="32"/>
        </w:rPr>
        <w:t>3251</w:t>
      </w:r>
      <w:r>
        <w:rPr>
          <w:rFonts w:hint="default"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rPr>
        <w:t>6</w:t>
      </w:r>
      <w:r>
        <w:rPr>
          <w:rFonts w:hint="default" w:ascii="Times New Roman" w:hAnsi="Times New Roman" w:eastAsia="方正仿宋简体" w:cs="Times New Roman"/>
          <w:b/>
          <w:bCs/>
          <w:sz w:val="32"/>
          <w:szCs w:val="32"/>
          <w:lang w:val="en-US" w:eastAsia="zh-CN"/>
        </w:rPr>
        <w:t>9</w:t>
      </w:r>
      <w:r>
        <w:rPr>
          <w:rFonts w:hint="default" w:ascii="Times New Roman" w:hAnsi="Times New Roman" w:eastAsia="方正仿宋简体" w:cs="Times New Roman"/>
          <w:b/>
          <w:bCs/>
          <w:sz w:val="32"/>
          <w:szCs w:val="32"/>
        </w:rPr>
        <w:t>万元，占</w:t>
      </w:r>
      <w:r>
        <w:rPr>
          <w:rFonts w:hint="default" w:ascii="Times New Roman" w:hAnsi="Times New Roman" w:eastAsia="方正仿宋简体" w:cs="Times New Roman"/>
          <w:b/>
          <w:bCs/>
          <w:sz w:val="32"/>
          <w:szCs w:val="32"/>
          <w:lang w:val="en-US" w:eastAsia="zh-CN"/>
        </w:rPr>
        <w:t>97.22</w:t>
      </w:r>
      <w:r>
        <w:rPr>
          <w:rFonts w:hint="default" w:ascii="Times New Roman" w:hAnsi="Times New Roman" w:eastAsia="方正仿宋简体" w:cs="Times New Roman"/>
          <w:b/>
          <w:bCs/>
          <w:sz w:val="32"/>
          <w:szCs w:val="32"/>
        </w:rPr>
        <w:t>%；医疗卫生支出38</w:t>
      </w:r>
      <w:r>
        <w:rPr>
          <w:rFonts w:hint="default"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rPr>
        <w:t>75万元，占</w:t>
      </w:r>
      <w:r>
        <w:rPr>
          <w:rFonts w:hint="default" w:ascii="Times New Roman" w:hAnsi="Times New Roman" w:eastAsia="方正仿宋简体" w:cs="Times New Roman"/>
          <w:b/>
          <w:bCs/>
          <w:sz w:val="32"/>
          <w:szCs w:val="32"/>
          <w:lang w:val="en-US" w:eastAsia="zh-CN"/>
        </w:rPr>
        <w:t>1.16</w:t>
      </w:r>
      <w:r>
        <w:rPr>
          <w:rFonts w:hint="default" w:ascii="Times New Roman" w:hAnsi="Times New Roman" w:eastAsia="方正仿宋简体" w:cs="Times New Roman"/>
          <w:b/>
          <w:bCs/>
          <w:sz w:val="32"/>
          <w:szCs w:val="32"/>
        </w:rPr>
        <w:t>%</w:t>
      </w:r>
      <w:r>
        <w:rPr>
          <w:rFonts w:hint="default"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rPr>
        <w:t>住房保障支出54</w:t>
      </w:r>
      <w:r>
        <w:rPr>
          <w:rFonts w:hint="default"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rPr>
        <w:t>2</w:t>
      </w:r>
      <w:r>
        <w:rPr>
          <w:rFonts w:hint="default" w:ascii="Times New Roman" w:hAnsi="Times New Roman" w:eastAsia="方正仿宋简体" w:cs="Times New Roman"/>
          <w:b/>
          <w:bCs/>
          <w:sz w:val="32"/>
          <w:szCs w:val="32"/>
          <w:lang w:val="en-US" w:eastAsia="zh-CN"/>
        </w:rPr>
        <w:t>8万</w:t>
      </w:r>
      <w:r>
        <w:rPr>
          <w:rFonts w:hint="default" w:ascii="Times New Roman" w:hAnsi="Times New Roman" w:eastAsia="方正仿宋简体" w:cs="Times New Roman"/>
          <w:b/>
          <w:bCs/>
          <w:sz w:val="32"/>
          <w:szCs w:val="32"/>
        </w:rPr>
        <w:t>元，占</w:t>
      </w:r>
      <w:r>
        <w:rPr>
          <w:rFonts w:hint="default" w:ascii="Times New Roman" w:hAnsi="Times New Roman" w:eastAsia="方正仿宋简体" w:cs="Times New Roman"/>
          <w:b/>
          <w:bCs/>
          <w:sz w:val="32"/>
          <w:szCs w:val="32"/>
          <w:lang w:val="en-US" w:eastAsia="zh-CN"/>
        </w:rPr>
        <w:t>1.62</w:t>
      </w:r>
      <w:r>
        <w:rPr>
          <w:rFonts w:hint="default" w:ascii="Times New Roman" w:hAnsi="Times New Roman" w:eastAsia="方正仿宋简体" w:cs="Times New Roman"/>
          <w:b/>
          <w:bCs/>
          <w:sz w:val="32"/>
          <w:szCs w:val="32"/>
        </w:rPr>
        <w:t>%。</w:t>
      </w:r>
    </w:p>
    <w:p>
      <w:pPr>
        <w:pStyle w:val="8"/>
        <w:rPr>
          <w:rFonts w:hint="default" w:ascii="Times New Roman" w:hAnsi="Times New Roman" w:eastAsia="方正仿宋简体" w:cs="Times New Roman"/>
          <w:b/>
          <w:bCs/>
        </w:rPr>
      </w:pPr>
    </w:p>
    <w:p>
      <w:pPr>
        <w:spacing w:line="600" w:lineRule="exact"/>
        <w:ind w:firstLine="640"/>
        <w:rPr>
          <w:rFonts w:hint="default" w:ascii="Times New Roman" w:hAnsi="Times New Roman" w:eastAsia="仿宋" w:cs="Times New Roman"/>
          <w:b/>
          <w:bCs/>
          <w:color w:val="auto"/>
          <w:sz w:val="32"/>
          <w:szCs w:val="32"/>
          <w:highlight w:val="none"/>
        </w:rPr>
      </w:pPr>
    </w:p>
    <w:p>
      <w:pPr>
        <w:spacing w:line="600" w:lineRule="exact"/>
        <w:ind w:firstLine="640"/>
        <w:rPr>
          <w:rFonts w:hint="default" w:ascii="Times New Roman" w:hAnsi="Times New Roman" w:eastAsia="仿宋" w:cs="Times New Roman"/>
          <w:b/>
          <w:bCs/>
          <w:color w:val="auto"/>
          <w:sz w:val="32"/>
          <w:szCs w:val="32"/>
          <w:highlight w:val="none"/>
        </w:rPr>
      </w:pPr>
    </w:p>
    <w:p>
      <w:pPr>
        <w:spacing w:line="600" w:lineRule="exact"/>
        <w:ind w:firstLine="640"/>
        <w:rPr>
          <w:rFonts w:hint="default" w:ascii="Times New Roman" w:hAnsi="Times New Roman" w:eastAsia="仿宋" w:cs="Times New Roman"/>
          <w:b/>
          <w:bCs/>
          <w:color w:val="auto"/>
          <w:sz w:val="32"/>
          <w:szCs w:val="32"/>
          <w:highlight w:val="none"/>
        </w:rPr>
      </w:pPr>
    </w:p>
    <w:p>
      <w:pPr>
        <w:pStyle w:val="8"/>
        <w:rPr>
          <w:rFonts w:hint="default" w:ascii="Times New Roman" w:hAnsi="Times New Roman" w:eastAsia="仿宋" w:cs="Times New Roman"/>
          <w:b/>
          <w:bCs/>
          <w:color w:val="auto"/>
          <w:sz w:val="32"/>
          <w:szCs w:val="32"/>
          <w:highlight w:val="none"/>
        </w:rPr>
      </w:pPr>
    </w:p>
    <w:p>
      <w:pPr>
        <w:spacing w:line="600" w:lineRule="exact"/>
        <w:jc w:val="center"/>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（图6：一般公共预算财政拨款支出决算结构）</w:t>
      </w:r>
    </w:p>
    <w:p>
      <w:pPr>
        <w:spacing w:line="600" w:lineRule="exact"/>
        <w:ind w:firstLine="643" w:firstLineChars="200"/>
        <w:outlineLvl w:val="2"/>
        <w:rPr>
          <w:rFonts w:hint="default" w:ascii="Times New Roman" w:hAnsi="Times New Roman" w:eastAsia="楷体_GB2312" w:cs="Times New Roman"/>
          <w:b/>
          <w:bCs/>
          <w:color w:val="auto"/>
          <w:sz w:val="32"/>
          <w:szCs w:val="32"/>
          <w:highlight w:val="none"/>
        </w:rPr>
      </w:pPr>
      <w:bookmarkStart w:id="34" w:name="_Toc15377212"/>
      <w:r>
        <w:rPr>
          <w:rFonts w:hint="default" w:ascii="Times New Roman" w:hAnsi="Times New Roman" w:eastAsia="楷体_GB2312" w:cs="Times New Roman"/>
          <w:b/>
          <w:bCs/>
          <w:color w:val="auto"/>
          <w:sz w:val="32"/>
          <w:szCs w:val="32"/>
          <w:highlight w:val="none"/>
        </w:rPr>
        <w:t>（三）一般公共预算财政拨款支出决算具体情况</w:t>
      </w:r>
      <w:bookmarkEnd w:id="34"/>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bookmarkStart w:id="35" w:name="_Toc15377444"/>
      <w:bookmarkStart w:id="36" w:name="_Toc15377213"/>
      <w:bookmarkStart w:id="37" w:name="_Toc15378460"/>
      <w:r>
        <w:rPr>
          <w:rFonts w:hint="default" w:ascii="Times New Roman" w:hAnsi="Times New Roman" w:eastAsia="仿宋_GB2312" w:cs="Times New Roman"/>
          <w:b/>
          <w:bCs/>
          <w:color w:val="auto"/>
          <w:kern w:val="2"/>
          <w:sz w:val="32"/>
          <w:szCs w:val="32"/>
          <w:highlight w:val="none"/>
          <w:lang w:val="en-US" w:eastAsia="zh-CN" w:bidi="ar-SA"/>
        </w:rPr>
        <w:t>2024年度一般公共预算财政拨款支出决算数为</w:t>
      </w:r>
      <w:r>
        <w:rPr>
          <w:rFonts w:hint="default" w:ascii="Times New Roman" w:hAnsi="Times New Roman" w:eastAsia="仿宋" w:cs="Times New Roman"/>
          <w:b/>
          <w:bCs/>
          <w:color w:val="auto"/>
          <w:sz w:val="32"/>
          <w:szCs w:val="32"/>
          <w:highlight w:val="none"/>
          <w:lang w:val="en-US" w:eastAsia="zh-CN"/>
        </w:rPr>
        <w:t>3344.72万元</w:t>
      </w:r>
      <w:r>
        <w:rPr>
          <w:rFonts w:hint="default" w:ascii="Times New Roman" w:hAnsi="Times New Roman" w:eastAsia="仿宋_GB2312" w:cs="Times New Roman"/>
          <w:b/>
          <w:bCs/>
          <w:color w:val="auto"/>
          <w:kern w:val="2"/>
          <w:sz w:val="32"/>
          <w:szCs w:val="32"/>
          <w:highlight w:val="none"/>
          <w:lang w:val="en-US" w:eastAsia="zh-CN" w:bidi="ar-SA"/>
        </w:rPr>
        <w:t>，完成预算97.99%。其中：</w:t>
      </w:r>
    </w:p>
    <w:p>
      <w:pPr>
        <w:spacing w:line="570" w:lineRule="exact"/>
        <w:ind w:firstLine="643" w:firstLineChars="200"/>
        <w:rPr>
          <w:rStyle w:val="22"/>
          <w:rFonts w:hint="default" w:ascii="Times New Roman" w:hAnsi="Times New Roman" w:eastAsia="仿宋" w:cs="Times New Roman"/>
          <w:b/>
          <w:bCs/>
          <w:color w:val="auto"/>
          <w:sz w:val="32"/>
          <w:szCs w:val="32"/>
          <w:highlight w:val="none"/>
        </w:rPr>
      </w:pPr>
      <w:r>
        <w:rPr>
          <w:rStyle w:val="22"/>
          <w:rFonts w:hint="default" w:ascii="Times New Roman" w:hAnsi="Times New Roman" w:eastAsia="仿宋" w:cs="Times New Roman"/>
          <w:b/>
          <w:bCs/>
          <w:color w:val="auto"/>
          <w:sz w:val="32"/>
          <w:szCs w:val="32"/>
          <w:highlight w:val="none"/>
        </w:rPr>
        <w:t>1.社会保障和就业支出（类）行政事业单位养老支出（款）行政单位离退休（项）：支出决算为40.34万元，完成预算99.98%，决算数与预算数基本持平。</w:t>
      </w:r>
    </w:p>
    <w:p>
      <w:pPr>
        <w:spacing w:line="570" w:lineRule="exact"/>
        <w:ind w:firstLine="643" w:firstLineChars="200"/>
        <w:rPr>
          <w:rFonts w:hint="default" w:ascii="Times New Roman" w:hAnsi="Times New Roman" w:eastAsia="仿宋_GB2312" w:cs="Times New Roman"/>
          <w:b/>
          <w:bCs/>
          <w:color w:val="auto"/>
          <w:kern w:val="0"/>
          <w:sz w:val="32"/>
          <w:szCs w:val="32"/>
        </w:rPr>
      </w:pPr>
      <w:r>
        <w:rPr>
          <w:rStyle w:val="22"/>
          <w:rFonts w:hint="default" w:ascii="Times New Roman" w:hAnsi="Times New Roman" w:eastAsia="仿宋" w:cs="Times New Roman"/>
          <w:b/>
          <w:bCs/>
          <w:color w:val="auto"/>
          <w:sz w:val="32"/>
          <w:szCs w:val="32"/>
          <w:highlight w:val="none"/>
        </w:rPr>
        <w:t>2.社会保障和就业支出（类）行政事业单位养老支出（款）机关事业单位基本养老保险缴费支出（项）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支出决算为</w:t>
      </w:r>
      <w:r>
        <w:rPr>
          <w:rFonts w:hint="default" w:ascii="Times New Roman" w:hAnsi="Times New Roman" w:eastAsia="仿宋_GB2312" w:cs="Times New Roman"/>
          <w:b/>
          <w:bCs/>
          <w:color w:val="auto"/>
          <w:kern w:val="0"/>
          <w:sz w:val="32"/>
          <w:szCs w:val="32"/>
          <w:lang w:val="en-US" w:eastAsia="zh-CN"/>
        </w:rPr>
        <w:t>57.67</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99.83</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val="en-US" w:eastAsia="zh-CN"/>
        </w:rPr>
        <w:t>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val="en-US" w:eastAsia="zh-CN"/>
        </w:rPr>
        <w:t>基本持平</w:t>
      </w:r>
      <w:r>
        <w:rPr>
          <w:rFonts w:hint="default" w:ascii="Times New Roman" w:hAnsi="Times New Roman" w:eastAsia="仿宋_GB2312" w:cs="Times New Roman"/>
          <w:b/>
          <w:bCs/>
          <w:color w:val="auto"/>
          <w:kern w:val="0"/>
          <w:sz w:val="32"/>
          <w:szCs w:val="32"/>
        </w:rPr>
        <w:t>。</w:t>
      </w:r>
    </w:p>
    <w:p>
      <w:pPr>
        <w:spacing w:line="570" w:lineRule="exact"/>
        <w:ind w:firstLine="643" w:firstLineChars="200"/>
        <w:rPr>
          <w:rFonts w:hint="default" w:ascii="Times New Roman" w:hAnsi="Times New Roman" w:eastAsia="仿宋_GB2312" w:cs="Times New Roman"/>
          <w:b/>
          <w:bCs/>
          <w:color w:val="auto"/>
          <w:kern w:val="0"/>
          <w:sz w:val="32"/>
          <w:szCs w:val="32"/>
        </w:rPr>
      </w:pPr>
      <w:r>
        <w:rPr>
          <w:rStyle w:val="22"/>
          <w:rFonts w:hint="default" w:ascii="Times New Roman" w:hAnsi="Times New Roman" w:eastAsia="仿宋" w:cs="Times New Roman"/>
          <w:b/>
          <w:bCs/>
          <w:color w:val="auto"/>
          <w:sz w:val="32"/>
          <w:szCs w:val="32"/>
          <w:highlight w:val="none"/>
        </w:rPr>
        <w:t>3.社会保障和就业支出（类）行政事业单位养老支出（款）机关事业单位职业年金缴费支出（项）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支出决算为</w:t>
      </w:r>
      <w:r>
        <w:rPr>
          <w:rFonts w:hint="default" w:ascii="Times New Roman" w:hAnsi="Times New Roman" w:eastAsia="仿宋_GB2312" w:cs="Times New Roman"/>
          <w:b/>
          <w:bCs/>
          <w:color w:val="auto"/>
          <w:kern w:val="0"/>
          <w:sz w:val="32"/>
          <w:szCs w:val="32"/>
          <w:lang w:val="en-US" w:eastAsia="zh-CN"/>
        </w:rPr>
        <w:t>28.84</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99.83</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val="en-US" w:eastAsia="zh-CN"/>
        </w:rPr>
        <w:t>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val="en-US" w:eastAsia="zh-CN"/>
        </w:rPr>
        <w:t>基本持平</w:t>
      </w:r>
      <w:r>
        <w:rPr>
          <w:rFonts w:hint="default" w:ascii="Times New Roman" w:hAnsi="Times New Roman" w:eastAsia="仿宋_GB2312" w:cs="Times New Roman"/>
          <w:b/>
          <w:bCs/>
          <w:color w:val="auto"/>
          <w:kern w:val="0"/>
          <w:sz w:val="32"/>
          <w:szCs w:val="32"/>
        </w:rPr>
        <w:t>。</w:t>
      </w:r>
    </w:p>
    <w:p>
      <w:pPr>
        <w:spacing w:line="570" w:lineRule="exact"/>
        <w:ind w:firstLine="643" w:firstLineChars="200"/>
        <w:rPr>
          <w:rFonts w:hint="default" w:ascii="Times New Roman" w:hAnsi="Times New Roman" w:eastAsia="仿宋_GB2312" w:cs="Times New Roman"/>
          <w:b/>
          <w:bCs/>
          <w:color w:val="auto"/>
          <w:kern w:val="0"/>
          <w:sz w:val="32"/>
          <w:szCs w:val="32"/>
          <w:lang w:val="en-US" w:eastAsia="zh-CN"/>
        </w:rPr>
      </w:pPr>
      <w:r>
        <w:rPr>
          <w:rStyle w:val="22"/>
          <w:rFonts w:hint="default" w:ascii="Times New Roman" w:hAnsi="Times New Roman" w:eastAsia="仿宋" w:cs="Times New Roman"/>
          <w:b/>
          <w:bCs/>
          <w:color w:val="auto"/>
          <w:sz w:val="32"/>
          <w:szCs w:val="32"/>
          <w:highlight w:val="none"/>
        </w:rPr>
        <w:t>4.社会保障和就业支出（类）残疾人事业（款）行政运行（项）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支出决算为</w:t>
      </w:r>
      <w:r>
        <w:rPr>
          <w:rFonts w:hint="default" w:ascii="Times New Roman" w:hAnsi="Times New Roman" w:eastAsia="仿宋_GB2312" w:cs="Times New Roman"/>
          <w:b/>
          <w:bCs/>
          <w:color w:val="auto"/>
          <w:kern w:val="0"/>
          <w:sz w:val="32"/>
          <w:szCs w:val="32"/>
          <w:lang w:val="en-US" w:eastAsia="zh-CN"/>
        </w:rPr>
        <w:t>295.42</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90.74</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val="en-US" w:eastAsia="zh-CN"/>
        </w:rPr>
        <w:t>小于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val="en-US" w:eastAsia="zh-CN"/>
        </w:rPr>
        <w:t>的主要原因是人员退休、调动，人员经费支出相应减少。</w:t>
      </w:r>
    </w:p>
    <w:p>
      <w:pPr>
        <w:spacing w:line="570" w:lineRule="exact"/>
        <w:ind w:firstLine="643" w:firstLineChars="200"/>
        <w:rPr>
          <w:rFonts w:hint="default" w:ascii="Times New Roman" w:hAnsi="Times New Roman" w:eastAsia="仿宋_GB2312" w:cs="Times New Roman"/>
          <w:b/>
          <w:bCs/>
          <w:color w:val="auto"/>
          <w:kern w:val="0"/>
          <w:sz w:val="32"/>
          <w:szCs w:val="32"/>
          <w:lang w:val="en-US" w:eastAsia="zh-CN"/>
        </w:rPr>
      </w:pPr>
      <w:r>
        <w:rPr>
          <w:rStyle w:val="22"/>
          <w:rFonts w:hint="default" w:ascii="Times New Roman" w:hAnsi="Times New Roman" w:eastAsia="仿宋" w:cs="Times New Roman"/>
          <w:b/>
          <w:bCs/>
          <w:color w:val="auto"/>
          <w:sz w:val="32"/>
          <w:szCs w:val="32"/>
          <w:highlight w:val="none"/>
        </w:rPr>
        <w:t>5.社会保障和就业支出（类）残疾人事业（款）一般行政管理事务（项）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支出决算为27</w:t>
      </w:r>
      <w:r>
        <w:rPr>
          <w:rFonts w:hint="default" w:ascii="Times New Roman" w:hAnsi="Times New Roman" w:eastAsia="仿宋_GB2312" w:cs="Times New Roman"/>
          <w:b/>
          <w:bCs/>
          <w:color w:val="auto"/>
          <w:kern w:val="0"/>
          <w:sz w:val="32"/>
          <w:szCs w:val="32"/>
          <w:lang w:val="en-US" w:eastAsia="zh-CN"/>
        </w:rPr>
        <w:t>.</w:t>
      </w:r>
      <w:r>
        <w:rPr>
          <w:rFonts w:hint="default" w:ascii="Times New Roman" w:hAnsi="Times New Roman" w:eastAsia="仿宋_GB2312" w:cs="Times New Roman"/>
          <w:b/>
          <w:bCs/>
          <w:color w:val="auto"/>
          <w:kern w:val="0"/>
          <w:sz w:val="32"/>
          <w:szCs w:val="32"/>
        </w:rPr>
        <w:t>9</w:t>
      </w:r>
      <w:r>
        <w:rPr>
          <w:rFonts w:hint="default" w:ascii="Times New Roman" w:hAnsi="Times New Roman" w:eastAsia="仿宋_GB2312" w:cs="Times New Roman"/>
          <w:b/>
          <w:bCs/>
          <w:color w:val="auto"/>
          <w:kern w:val="0"/>
          <w:sz w:val="32"/>
          <w:szCs w:val="32"/>
          <w:lang w:val="en-US" w:eastAsia="zh-CN"/>
        </w:rPr>
        <w:t>2</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96.84</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eastAsia="zh-CN"/>
        </w:rPr>
        <w:t>小于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val="en-US" w:eastAsia="zh-CN"/>
        </w:rPr>
        <w:t>的主要原因是落实厉行节约要求，公务用车运行维护费支出减少。</w:t>
      </w:r>
    </w:p>
    <w:p>
      <w:pPr>
        <w:spacing w:line="570" w:lineRule="exact"/>
        <w:ind w:firstLine="643" w:firstLineChars="200"/>
        <w:rPr>
          <w:rFonts w:hint="default" w:ascii="Times New Roman" w:hAnsi="Times New Roman" w:eastAsia="仿宋_GB2312" w:cs="Times New Roman"/>
          <w:b/>
          <w:bCs/>
          <w:color w:val="auto"/>
          <w:kern w:val="0"/>
          <w:sz w:val="32"/>
          <w:szCs w:val="32"/>
        </w:rPr>
      </w:pPr>
      <w:r>
        <w:rPr>
          <w:rStyle w:val="22"/>
          <w:rFonts w:hint="default" w:ascii="Times New Roman" w:hAnsi="Times New Roman" w:eastAsia="仿宋" w:cs="Times New Roman"/>
          <w:b/>
          <w:bCs/>
          <w:color w:val="auto"/>
          <w:sz w:val="32"/>
          <w:szCs w:val="32"/>
          <w:highlight w:val="none"/>
          <w:lang w:val="en-US" w:eastAsia="zh-CN"/>
        </w:rPr>
        <w:t>6</w:t>
      </w:r>
      <w:r>
        <w:rPr>
          <w:rStyle w:val="22"/>
          <w:rFonts w:hint="default" w:ascii="Times New Roman" w:hAnsi="Times New Roman" w:eastAsia="仿宋" w:cs="Times New Roman"/>
          <w:b/>
          <w:bCs/>
          <w:color w:val="auto"/>
          <w:sz w:val="32"/>
          <w:szCs w:val="32"/>
          <w:highlight w:val="none"/>
        </w:rPr>
        <w:t>.社会保障和就业支出（类）残疾人事业（款）</w:t>
      </w:r>
      <w:r>
        <w:rPr>
          <w:rStyle w:val="22"/>
          <w:rFonts w:hint="default" w:ascii="Times New Roman" w:hAnsi="Times New Roman" w:eastAsia="仿宋" w:cs="Times New Roman"/>
          <w:b/>
          <w:bCs/>
          <w:color w:val="auto"/>
          <w:sz w:val="32"/>
          <w:szCs w:val="32"/>
          <w:highlight w:val="none"/>
          <w:lang w:val="en-US" w:eastAsia="zh-CN"/>
        </w:rPr>
        <w:t>机关服务</w:t>
      </w:r>
      <w:r>
        <w:rPr>
          <w:rStyle w:val="22"/>
          <w:rFonts w:hint="default" w:ascii="Times New Roman" w:hAnsi="Times New Roman" w:eastAsia="仿宋" w:cs="Times New Roman"/>
          <w:b/>
          <w:bCs/>
          <w:color w:val="auto"/>
          <w:sz w:val="32"/>
          <w:szCs w:val="32"/>
          <w:highlight w:val="none"/>
        </w:rPr>
        <w:t>（项）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支出决算为</w:t>
      </w:r>
      <w:r>
        <w:rPr>
          <w:rFonts w:hint="default" w:ascii="Times New Roman" w:hAnsi="Times New Roman" w:eastAsia="仿宋_GB2312" w:cs="Times New Roman"/>
          <w:b/>
          <w:bCs/>
          <w:color w:val="auto"/>
          <w:kern w:val="0"/>
          <w:sz w:val="32"/>
          <w:szCs w:val="32"/>
          <w:lang w:val="en-US" w:eastAsia="zh-CN"/>
        </w:rPr>
        <w:t>317.95</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99.86</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val="en-US" w:eastAsia="zh-CN"/>
        </w:rPr>
        <w:t>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val="en-US" w:eastAsia="zh-CN"/>
        </w:rPr>
        <w:t>基本持平</w:t>
      </w:r>
      <w:r>
        <w:rPr>
          <w:rFonts w:hint="default" w:ascii="Times New Roman" w:hAnsi="Times New Roman" w:eastAsia="仿宋_GB2312" w:cs="Times New Roman"/>
          <w:b/>
          <w:bCs/>
          <w:color w:val="auto"/>
          <w:kern w:val="0"/>
          <w:sz w:val="32"/>
          <w:szCs w:val="32"/>
        </w:rPr>
        <w:t>。</w:t>
      </w:r>
    </w:p>
    <w:p>
      <w:pPr>
        <w:spacing w:line="570" w:lineRule="exact"/>
        <w:ind w:firstLine="643" w:firstLineChars="200"/>
        <w:rPr>
          <w:rFonts w:hint="default" w:ascii="Times New Roman" w:hAnsi="Times New Roman" w:eastAsia="仿宋_GB2312" w:cs="Times New Roman"/>
          <w:b/>
          <w:bCs/>
          <w:color w:val="auto"/>
          <w:kern w:val="0"/>
          <w:sz w:val="32"/>
          <w:szCs w:val="32"/>
          <w:lang w:val="en-US" w:eastAsia="zh-CN"/>
        </w:rPr>
      </w:pPr>
      <w:r>
        <w:rPr>
          <w:rStyle w:val="22"/>
          <w:rFonts w:hint="default" w:ascii="Times New Roman" w:hAnsi="Times New Roman" w:eastAsia="仿宋" w:cs="Times New Roman"/>
          <w:b/>
          <w:bCs/>
          <w:color w:val="auto"/>
          <w:sz w:val="32"/>
          <w:szCs w:val="32"/>
          <w:highlight w:val="none"/>
          <w:lang w:val="en-US" w:eastAsia="zh-CN"/>
        </w:rPr>
        <w:t>7</w:t>
      </w:r>
      <w:r>
        <w:rPr>
          <w:rStyle w:val="22"/>
          <w:rFonts w:hint="default" w:ascii="Times New Roman" w:hAnsi="Times New Roman" w:eastAsia="仿宋" w:cs="Times New Roman"/>
          <w:b/>
          <w:bCs/>
          <w:color w:val="auto"/>
          <w:sz w:val="32"/>
          <w:szCs w:val="32"/>
          <w:highlight w:val="none"/>
        </w:rPr>
        <w:t>.社会保障和就业支出（类）残疾人事业（款）残疾人康复（项）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w:t>
      </w:r>
      <w:r>
        <w:rPr>
          <w:rFonts w:hint="default" w:ascii="Times New Roman" w:hAnsi="Times New Roman" w:eastAsia="仿宋_GB2312" w:cs="Times New Roman"/>
          <w:b/>
          <w:bCs/>
          <w:color w:val="auto"/>
          <w:kern w:val="0"/>
          <w:sz w:val="32"/>
          <w:szCs w:val="32"/>
          <w:lang w:val="en-US" w:eastAsia="zh-CN"/>
        </w:rPr>
        <w:t>566.94</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97.69</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eastAsia="zh-CN"/>
        </w:rPr>
        <w:t>小于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eastAsia="zh-CN"/>
        </w:rPr>
        <w:t>的主要原因：一是</w:t>
      </w:r>
      <w:r>
        <w:rPr>
          <w:rFonts w:hint="default" w:ascii="Times New Roman" w:hAnsi="Times New Roman" w:eastAsia="仿宋_GB2312" w:cs="Times New Roman"/>
          <w:b/>
          <w:bCs/>
          <w:color w:val="auto"/>
          <w:kern w:val="0"/>
          <w:sz w:val="32"/>
          <w:szCs w:val="32"/>
          <w:highlight w:val="none"/>
          <w:lang w:val="en-US" w:eastAsia="zh-CN"/>
        </w:rPr>
        <w:t>残疾儿童交通生活补贴依据本年申报情况进行发放，项目</w:t>
      </w:r>
      <w:r>
        <w:rPr>
          <w:rStyle w:val="22"/>
          <w:rFonts w:hint="default" w:ascii="Times New Roman" w:hAnsi="Times New Roman" w:eastAsia="仿宋" w:cs="Times New Roman"/>
          <w:b/>
          <w:bCs/>
          <w:color w:val="auto"/>
          <w:kern w:val="2"/>
          <w:sz w:val="32"/>
          <w:szCs w:val="32"/>
          <w:highlight w:val="none"/>
          <w:lang w:val="en-US" w:eastAsia="zh-CN" w:bidi="ar-SA"/>
        </w:rPr>
        <w:t>所余资金由市财政局统一收回。</w:t>
      </w:r>
    </w:p>
    <w:p>
      <w:pPr>
        <w:spacing w:line="570" w:lineRule="exact"/>
        <w:ind w:firstLine="643" w:firstLineChars="200"/>
        <w:rPr>
          <w:rFonts w:hint="default" w:ascii="Times New Roman" w:hAnsi="Times New Roman" w:eastAsia="仿宋_GB2312" w:cs="Times New Roman"/>
          <w:b/>
          <w:bCs/>
          <w:color w:val="auto"/>
          <w:kern w:val="0"/>
          <w:sz w:val="32"/>
          <w:szCs w:val="32"/>
        </w:rPr>
      </w:pPr>
      <w:r>
        <w:rPr>
          <w:rStyle w:val="22"/>
          <w:rFonts w:hint="default" w:ascii="Times New Roman" w:hAnsi="Times New Roman" w:eastAsia="仿宋" w:cs="Times New Roman"/>
          <w:b/>
          <w:bCs/>
          <w:color w:val="auto"/>
          <w:sz w:val="32"/>
          <w:szCs w:val="32"/>
          <w:highlight w:val="none"/>
          <w:lang w:val="en-US" w:eastAsia="zh-CN"/>
        </w:rPr>
        <w:t>8</w:t>
      </w:r>
      <w:r>
        <w:rPr>
          <w:rStyle w:val="22"/>
          <w:rFonts w:hint="default" w:ascii="Times New Roman" w:hAnsi="Times New Roman" w:eastAsia="仿宋" w:cs="Times New Roman"/>
          <w:b/>
          <w:bCs/>
          <w:color w:val="auto"/>
          <w:sz w:val="32"/>
          <w:szCs w:val="32"/>
          <w:highlight w:val="none"/>
        </w:rPr>
        <w:t>.社会保障和就业支出（类）残疾人事业（款）残疾人就业（项）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支出决算为</w:t>
      </w:r>
      <w:r>
        <w:rPr>
          <w:rFonts w:hint="default" w:ascii="Times New Roman" w:hAnsi="Times New Roman" w:eastAsia="仿宋_GB2312" w:cs="Times New Roman"/>
          <w:b/>
          <w:bCs/>
          <w:color w:val="auto"/>
          <w:kern w:val="0"/>
          <w:sz w:val="32"/>
          <w:szCs w:val="32"/>
          <w:lang w:val="en-US" w:eastAsia="zh-CN"/>
        </w:rPr>
        <w:t>971</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99.88</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val="en-US" w:eastAsia="zh-CN"/>
        </w:rPr>
        <w:t>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val="en-US" w:eastAsia="zh-CN"/>
        </w:rPr>
        <w:t>基本持平</w:t>
      </w:r>
      <w:r>
        <w:rPr>
          <w:rFonts w:hint="default" w:ascii="Times New Roman" w:hAnsi="Times New Roman" w:eastAsia="仿宋_GB2312" w:cs="Times New Roman"/>
          <w:b/>
          <w:bCs/>
          <w:color w:val="auto"/>
          <w:kern w:val="0"/>
          <w:sz w:val="32"/>
          <w:szCs w:val="32"/>
        </w:rPr>
        <w:t>。</w:t>
      </w:r>
    </w:p>
    <w:p>
      <w:pPr>
        <w:spacing w:line="570" w:lineRule="exact"/>
        <w:ind w:firstLine="643" w:firstLineChars="200"/>
        <w:rPr>
          <w:rFonts w:hint="default" w:ascii="Times New Roman" w:hAnsi="Times New Roman" w:eastAsia="仿宋_GB2312" w:cs="Times New Roman"/>
          <w:b/>
          <w:bCs/>
          <w:color w:val="auto"/>
          <w:kern w:val="0"/>
          <w:sz w:val="32"/>
          <w:szCs w:val="32"/>
        </w:rPr>
      </w:pPr>
      <w:r>
        <w:rPr>
          <w:rStyle w:val="22"/>
          <w:rFonts w:hint="default" w:ascii="Times New Roman" w:hAnsi="Times New Roman" w:eastAsia="仿宋" w:cs="Times New Roman"/>
          <w:b/>
          <w:bCs/>
          <w:color w:val="auto"/>
          <w:sz w:val="32"/>
          <w:szCs w:val="32"/>
          <w:highlight w:val="none"/>
          <w:lang w:val="en-US" w:eastAsia="zh-CN"/>
        </w:rPr>
        <w:t>9</w:t>
      </w:r>
      <w:r>
        <w:rPr>
          <w:rStyle w:val="22"/>
          <w:rFonts w:hint="default" w:ascii="Times New Roman" w:hAnsi="Times New Roman" w:eastAsia="仿宋" w:cs="Times New Roman"/>
          <w:b/>
          <w:bCs/>
          <w:color w:val="auto"/>
          <w:sz w:val="32"/>
          <w:szCs w:val="32"/>
          <w:highlight w:val="none"/>
        </w:rPr>
        <w:t>.社会保障和就业支出（类）残疾人事业（款）残疾人体育（项）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支出决算为</w:t>
      </w:r>
      <w:r>
        <w:rPr>
          <w:rFonts w:hint="default" w:ascii="Times New Roman" w:hAnsi="Times New Roman" w:eastAsia="仿宋_GB2312" w:cs="Times New Roman"/>
          <w:b/>
          <w:bCs/>
          <w:color w:val="auto"/>
          <w:kern w:val="0"/>
          <w:sz w:val="32"/>
          <w:szCs w:val="32"/>
          <w:lang w:val="en-US" w:eastAsia="zh-CN"/>
        </w:rPr>
        <w:t>278.34</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99.37</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val="en-US" w:eastAsia="zh-CN"/>
        </w:rPr>
        <w:t>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val="en-US" w:eastAsia="zh-CN"/>
        </w:rPr>
        <w:t>基本持平</w:t>
      </w:r>
      <w:r>
        <w:rPr>
          <w:rFonts w:hint="default" w:ascii="Times New Roman" w:hAnsi="Times New Roman" w:eastAsia="仿宋_GB2312" w:cs="Times New Roman"/>
          <w:b/>
          <w:bCs/>
          <w:color w:val="auto"/>
          <w:kern w:val="0"/>
          <w:sz w:val="32"/>
          <w:szCs w:val="32"/>
        </w:rPr>
        <w:t>。</w:t>
      </w:r>
    </w:p>
    <w:p>
      <w:pPr>
        <w:spacing w:line="570" w:lineRule="exact"/>
        <w:ind w:firstLine="643" w:firstLineChars="200"/>
        <w:rPr>
          <w:rFonts w:hint="default" w:ascii="Times New Roman" w:hAnsi="Times New Roman" w:eastAsia="仿宋_GB2312" w:cs="Times New Roman"/>
          <w:b/>
          <w:bCs/>
          <w:color w:val="auto"/>
          <w:kern w:val="0"/>
          <w:sz w:val="32"/>
          <w:szCs w:val="32"/>
          <w:lang w:val="en-US" w:eastAsia="zh-CN"/>
        </w:rPr>
      </w:pPr>
      <w:r>
        <w:rPr>
          <w:rStyle w:val="22"/>
          <w:rFonts w:hint="default" w:ascii="Times New Roman" w:hAnsi="Times New Roman" w:eastAsia="仿宋" w:cs="Times New Roman"/>
          <w:b/>
          <w:bCs/>
          <w:color w:val="auto"/>
          <w:sz w:val="32"/>
          <w:szCs w:val="32"/>
          <w:highlight w:val="none"/>
          <w:lang w:val="en-US" w:eastAsia="zh-CN"/>
        </w:rPr>
        <w:t>10</w:t>
      </w:r>
      <w:r>
        <w:rPr>
          <w:rStyle w:val="22"/>
          <w:rFonts w:hint="default" w:ascii="Times New Roman" w:hAnsi="Times New Roman" w:eastAsia="仿宋" w:cs="Times New Roman"/>
          <w:b/>
          <w:bCs/>
          <w:color w:val="auto"/>
          <w:sz w:val="32"/>
          <w:szCs w:val="32"/>
          <w:highlight w:val="none"/>
        </w:rPr>
        <w:t>.社会保障和就业支出（类）残疾人事业（款）其他残疾人事业支出（项）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color w:val="auto"/>
          <w:kern w:val="0"/>
          <w:sz w:val="32"/>
          <w:szCs w:val="32"/>
        </w:rPr>
        <w:t>支出决算为</w:t>
      </w:r>
      <w:r>
        <w:rPr>
          <w:rFonts w:hint="default" w:ascii="Times New Roman" w:hAnsi="Times New Roman" w:eastAsia="仿宋_GB2312" w:cs="Times New Roman"/>
          <w:b/>
          <w:bCs/>
          <w:color w:val="auto"/>
          <w:kern w:val="0"/>
          <w:sz w:val="32"/>
          <w:szCs w:val="32"/>
          <w:lang w:val="en-US" w:eastAsia="zh-CN"/>
        </w:rPr>
        <w:t>667.27</w:t>
      </w:r>
      <w:r>
        <w:rPr>
          <w:rFonts w:hint="default" w:ascii="Times New Roman" w:hAnsi="Times New Roman" w:eastAsia="仿宋_GB2312" w:cs="Times New Roman"/>
          <w:b/>
          <w:bCs/>
          <w:color w:val="auto"/>
          <w:kern w:val="0"/>
          <w:sz w:val="32"/>
          <w:szCs w:val="32"/>
        </w:rPr>
        <w:t>万元，完成预算</w:t>
      </w:r>
      <w:r>
        <w:rPr>
          <w:rFonts w:hint="default" w:ascii="Times New Roman" w:hAnsi="Times New Roman" w:eastAsia="仿宋_GB2312" w:cs="Times New Roman"/>
          <w:b/>
          <w:bCs/>
          <w:color w:val="auto"/>
          <w:kern w:val="0"/>
          <w:sz w:val="32"/>
          <w:szCs w:val="32"/>
          <w:lang w:val="en-US" w:eastAsia="zh-CN"/>
        </w:rPr>
        <w:t>97.11</w:t>
      </w:r>
      <w:r>
        <w:rPr>
          <w:rFonts w:hint="default" w:ascii="Times New Roman" w:hAnsi="Times New Roman" w:eastAsia="仿宋_GB2312" w:cs="Times New Roman"/>
          <w:b/>
          <w:bCs/>
          <w:color w:val="auto"/>
          <w:kern w:val="0"/>
          <w:sz w:val="32"/>
          <w:szCs w:val="32"/>
        </w:rPr>
        <w:t>%，决算数</w:t>
      </w:r>
      <w:r>
        <w:rPr>
          <w:rFonts w:hint="default" w:ascii="Times New Roman" w:hAnsi="Times New Roman" w:eastAsia="仿宋_GB2312" w:cs="Times New Roman"/>
          <w:b/>
          <w:bCs/>
          <w:color w:val="auto"/>
          <w:kern w:val="0"/>
          <w:sz w:val="32"/>
          <w:szCs w:val="32"/>
          <w:lang w:val="en-US" w:eastAsia="zh-CN"/>
        </w:rPr>
        <w:t>小于</w:t>
      </w:r>
      <w:r>
        <w:rPr>
          <w:rFonts w:hint="default" w:ascii="Times New Roman" w:hAnsi="Times New Roman" w:eastAsia="仿宋_GB2312" w:cs="Times New Roman"/>
          <w:b/>
          <w:bCs/>
          <w:color w:val="auto"/>
          <w:kern w:val="0"/>
          <w:sz w:val="32"/>
          <w:szCs w:val="32"/>
        </w:rPr>
        <w:t>预算数</w:t>
      </w:r>
      <w:r>
        <w:rPr>
          <w:rFonts w:hint="default" w:ascii="Times New Roman" w:hAnsi="Times New Roman" w:eastAsia="仿宋_GB2312" w:cs="Times New Roman"/>
          <w:b/>
          <w:bCs/>
          <w:color w:val="auto"/>
          <w:kern w:val="0"/>
          <w:sz w:val="32"/>
          <w:szCs w:val="32"/>
          <w:lang w:val="en-US" w:eastAsia="zh-CN"/>
        </w:rPr>
        <w:t>的原因：一是泸州市残疾人托养服务中心建设项目前期经费按照合同约定支付项目设计费，资金存在结余；二是市本级托养中心保障运行经费据实结算电费、水费等，资金存在结余；三是下属事业单位聘用人员正常离职，年初预算的资金有结余，</w:t>
      </w:r>
      <w:r>
        <w:rPr>
          <w:rStyle w:val="22"/>
          <w:rFonts w:hint="default" w:ascii="Times New Roman" w:hAnsi="Times New Roman" w:eastAsia="仿宋" w:cs="Times New Roman"/>
          <w:b/>
          <w:bCs/>
          <w:color w:val="auto"/>
          <w:kern w:val="2"/>
          <w:sz w:val="32"/>
          <w:szCs w:val="32"/>
          <w:lang w:val="en-US" w:eastAsia="zh-CN" w:bidi="ar-SA"/>
        </w:rPr>
        <w:t>所余资金由市财政局统一收回。</w:t>
      </w:r>
    </w:p>
    <w:p>
      <w:pPr>
        <w:spacing w:line="570" w:lineRule="exact"/>
        <w:ind w:firstLine="643" w:firstLineChars="200"/>
        <w:rPr>
          <w:rStyle w:val="22"/>
          <w:rFonts w:hint="default" w:ascii="Times New Roman" w:hAnsi="Times New Roman" w:eastAsia="仿宋" w:cs="Times New Roman"/>
          <w:b/>
          <w:bCs/>
          <w:kern w:val="2"/>
          <w:sz w:val="32"/>
          <w:szCs w:val="32"/>
          <w:lang w:val="en-US" w:eastAsia="zh-CN" w:bidi="ar-SA"/>
        </w:rPr>
      </w:pPr>
      <w:r>
        <w:rPr>
          <w:rStyle w:val="22"/>
          <w:rFonts w:hint="default" w:ascii="Times New Roman" w:hAnsi="Times New Roman" w:eastAsia="仿宋" w:cs="Times New Roman"/>
          <w:b/>
          <w:bCs/>
          <w:color w:val="auto"/>
          <w:sz w:val="32"/>
          <w:szCs w:val="32"/>
          <w:highlight w:val="none"/>
          <w:lang w:val="en-US" w:eastAsia="zh-CN"/>
        </w:rPr>
        <w:t>11</w:t>
      </w:r>
      <w:r>
        <w:rPr>
          <w:rStyle w:val="22"/>
          <w:rFonts w:hint="default" w:ascii="Times New Roman" w:hAnsi="Times New Roman" w:eastAsia="仿宋" w:cs="Times New Roman"/>
          <w:b/>
          <w:bCs/>
          <w:color w:val="auto"/>
          <w:sz w:val="32"/>
          <w:szCs w:val="32"/>
          <w:highlight w:val="none"/>
        </w:rPr>
        <w:t>.卫生健康支出（类）行政事业单位医疗（款）行政单位医疗（项）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kern w:val="0"/>
          <w:sz w:val="32"/>
          <w:szCs w:val="32"/>
        </w:rPr>
        <w:t>支出决算为</w:t>
      </w:r>
      <w:r>
        <w:rPr>
          <w:rFonts w:hint="default" w:ascii="Times New Roman" w:hAnsi="Times New Roman" w:eastAsia="仿宋_GB2312" w:cs="Times New Roman"/>
          <w:b/>
          <w:bCs/>
          <w:kern w:val="0"/>
          <w:sz w:val="32"/>
          <w:szCs w:val="32"/>
          <w:lang w:val="en-US" w:eastAsia="zh-CN"/>
        </w:rPr>
        <w:t>14.25</w:t>
      </w:r>
      <w:r>
        <w:rPr>
          <w:rFonts w:hint="default" w:ascii="Times New Roman" w:hAnsi="Times New Roman" w:eastAsia="仿宋_GB2312" w:cs="Times New Roman"/>
          <w:b/>
          <w:bCs/>
          <w:kern w:val="0"/>
          <w:sz w:val="32"/>
          <w:szCs w:val="32"/>
        </w:rPr>
        <w:t>万元，完成预算</w:t>
      </w:r>
      <w:r>
        <w:rPr>
          <w:rFonts w:hint="default" w:ascii="Times New Roman" w:hAnsi="Times New Roman" w:eastAsia="仿宋_GB2312" w:cs="Times New Roman"/>
          <w:b/>
          <w:bCs/>
          <w:kern w:val="0"/>
          <w:sz w:val="32"/>
          <w:szCs w:val="32"/>
          <w:lang w:val="en-US" w:eastAsia="zh-CN"/>
        </w:rPr>
        <w:t>99.99</w:t>
      </w:r>
      <w:r>
        <w:rPr>
          <w:rFonts w:hint="default" w:ascii="Times New Roman" w:hAnsi="Times New Roman" w:eastAsia="仿宋_GB2312" w:cs="Times New Roman"/>
          <w:b/>
          <w:bCs/>
          <w:kern w:val="0"/>
          <w:sz w:val="32"/>
          <w:szCs w:val="32"/>
        </w:rPr>
        <w:t>%，决算数</w:t>
      </w:r>
      <w:r>
        <w:rPr>
          <w:rFonts w:hint="default" w:ascii="Times New Roman" w:hAnsi="Times New Roman" w:eastAsia="仿宋_GB2312" w:cs="Times New Roman"/>
          <w:b/>
          <w:bCs/>
          <w:kern w:val="0"/>
          <w:sz w:val="32"/>
          <w:szCs w:val="32"/>
          <w:lang w:val="en-US" w:eastAsia="zh-CN"/>
        </w:rPr>
        <w:t>与</w:t>
      </w:r>
      <w:r>
        <w:rPr>
          <w:rFonts w:hint="default" w:ascii="Times New Roman" w:hAnsi="Times New Roman" w:eastAsia="仿宋_GB2312" w:cs="Times New Roman"/>
          <w:b/>
          <w:bCs/>
          <w:kern w:val="0"/>
          <w:sz w:val="32"/>
          <w:szCs w:val="32"/>
        </w:rPr>
        <w:t>预算数</w:t>
      </w:r>
      <w:r>
        <w:rPr>
          <w:rFonts w:hint="default" w:ascii="Times New Roman" w:hAnsi="Times New Roman" w:eastAsia="仿宋_GB2312" w:cs="Times New Roman"/>
          <w:b/>
          <w:bCs/>
          <w:kern w:val="0"/>
          <w:sz w:val="32"/>
          <w:szCs w:val="32"/>
          <w:lang w:val="en-US" w:eastAsia="zh-CN"/>
        </w:rPr>
        <w:t>基本持平</w:t>
      </w:r>
      <w:r>
        <w:rPr>
          <w:rFonts w:hint="default" w:ascii="Times New Roman" w:hAnsi="Times New Roman" w:eastAsia="仿宋_GB2312" w:cs="Times New Roman"/>
          <w:b/>
          <w:bCs/>
          <w:kern w:val="0"/>
          <w:sz w:val="32"/>
          <w:szCs w:val="32"/>
        </w:rPr>
        <w:t>。</w:t>
      </w:r>
    </w:p>
    <w:p>
      <w:pPr>
        <w:spacing w:line="570" w:lineRule="exact"/>
        <w:ind w:firstLine="643" w:firstLineChars="200"/>
        <w:rPr>
          <w:rStyle w:val="22"/>
          <w:rFonts w:hint="default" w:ascii="Times New Roman" w:hAnsi="Times New Roman" w:eastAsia="仿宋" w:cs="Times New Roman"/>
          <w:b/>
          <w:bCs/>
          <w:kern w:val="2"/>
          <w:sz w:val="32"/>
          <w:szCs w:val="32"/>
          <w:lang w:val="en-US" w:eastAsia="zh-CN" w:bidi="ar-SA"/>
        </w:rPr>
      </w:pPr>
      <w:r>
        <w:rPr>
          <w:rStyle w:val="22"/>
          <w:rFonts w:hint="default" w:ascii="Times New Roman" w:hAnsi="Times New Roman" w:eastAsia="仿宋" w:cs="Times New Roman"/>
          <w:b/>
          <w:bCs/>
          <w:color w:val="auto"/>
          <w:sz w:val="32"/>
          <w:szCs w:val="32"/>
          <w:highlight w:val="none"/>
          <w:lang w:val="en-US" w:eastAsia="zh-CN"/>
        </w:rPr>
        <w:t>12</w:t>
      </w:r>
      <w:r>
        <w:rPr>
          <w:rStyle w:val="22"/>
          <w:rFonts w:hint="default" w:ascii="Times New Roman" w:hAnsi="Times New Roman" w:eastAsia="仿宋" w:cs="Times New Roman"/>
          <w:b/>
          <w:bCs/>
          <w:color w:val="auto"/>
          <w:sz w:val="32"/>
          <w:szCs w:val="32"/>
          <w:highlight w:val="none"/>
        </w:rPr>
        <w:t>.卫生健康支出（类）行政事业单位医疗（款）事业单位医疗（项）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kern w:val="0"/>
          <w:sz w:val="32"/>
          <w:szCs w:val="32"/>
        </w:rPr>
        <w:t>支出决算为</w:t>
      </w:r>
      <w:r>
        <w:rPr>
          <w:rFonts w:hint="default" w:ascii="Times New Roman" w:hAnsi="Times New Roman" w:eastAsia="仿宋_GB2312" w:cs="Times New Roman"/>
          <w:b/>
          <w:bCs/>
          <w:kern w:val="0"/>
          <w:sz w:val="32"/>
          <w:szCs w:val="32"/>
          <w:lang w:val="en-US" w:eastAsia="zh-CN"/>
        </w:rPr>
        <w:t>16.1</w:t>
      </w:r>
      <w:r>
        <w:rPr>
          <w:rFonts w:hint="default" w:ascii="Times New Roman" w:hAnsi="Times New Roman" w:eastAsia="仿宋_GB2312" w:cs="Times New Roman"/>
          <w:b/>
          <w:bCs/>
          <w:kern w:val="0"/>
          <w:sz w:val="32"/>
          <w:szCs w:val="32"/>
        </w:rPr>
        <w:t>万元，完成预算</w:t>
      </w:r>
      <w:r>
        <w:rPr>
          <w:rFonts w:hint="default" w:ascii="Times New Roman" w:hAnsi="Times New Roman" w:eastAsia="仿宋_GB2312" w:cs="Times New Roman"/>
          <w:b/>
          <w:bCs/>
          <w:kern w:val="0"/>
          <w:sz w:val="32"/>
          <w:szCs w:val="32"/>
          <w:lang w:val="en-US" w:eastAsia="zh-CN"/>
        </w:rPr>
        <w:t>98.11</w:t>
      </w:r>
      <w:r>
        <w:rPr>
          <w:rFonts w:hint="default" w:ascii="Times New Roman" w:hAnsi="Times New Roman" w:eastAsia="仿宋_GB2312" w:cs="Times New Roman"/>
          <w:b/>
          <w:bCs/>
          <w:kern w:val="0"/>
          <w:sz w:val="32"/>
          <w:szCs w:val="32"/>
        </w:rPr>
        <w:t>%，决算数</w:t>
      </w:r>
      <w:r>
        <w:rPr>
          <w:rFonts w:hint="default" w:ascii="Times New Roman" w:hAnsi="Times New Roman" w:eastAsia="仿宋_GB2312" w:cs="Times New Roman"/>
          <w:b/>
          <w:bCs/>
          <w:kern w:val="0"/>
          <w:sz w:val="32"/>
          <w:szCs w:val="32"/>
          <w:lang w:val="en-US" w:eastAsia="zh-CN"/>
        </w:rPr>
        <w:t>与</w:t>
      </w:r>
      <w:r>
        <w:rPr>
          <w:rFonts w:hint="default" w:ascii="Times New Roman" w:hAnsi="Times New Roman" w:eastAsia="仿宋_GB2312" w:cs="Times New Roman"/>
          <w:b/>
          <w:bCs/>
          <w:kern w:val="0"/>
          <w:sz w:val="32"/>
          <w:szCs w:val="32"/>
        </w:rPr>
        <w:t>预算数</w:t>
      </w:r>
      <w:r>
        <w:rPr>
          <w:rFonts w:hint="default" w:ascii="Times New Roman" w:hAnsi="Times New Roman" w:eastAsia="仿宋_GB2312" w:cs="Times New Roman"/>
          <w:b/>
          <w:bCs/>
          <w:kern w:val="0"/>
          <w:sz w:val="32"/>
          <w:szCs w:val="32"/>
          <w:lang w:val="en-US" w:eastAsia="zh-CN"/>
        </w:rPr>
        <w:t>基本持平</w:t>
      </w:r>
      <w:r>
        <w:rPr>
          <w:rFonts w:hint="default" w:ascii="Times New Roman" w:hAnsi="Times New Roman" w:eastAsia="仿宋_GB2312" w:cs="Times New Roman"/>
          <w:b/>
          <w:bCs/>
          <w:kern w:val="0"/>
          <w:sz w:val="32"/>
          <w:szCs w:val="32"/>
        </w:rPr>
        <w:t>。</w:t>
      </w:r>
    </w:p>
    <w:p>
      <w:pPr>
        <w:spacing w:line="570" w:lineRule="exact"/>
        <w:ind w:firstLine="643" w:firstLineChars="200"/>
        <w:rPr>
          <w:rFonts w:hint="default" w:ascii="Times New Roman" w:hAnsi="Times New Roman" w:eastAsia="仿宋_GB2312" w:cs="Times New Roman"/>
          <w:b/>
          <w:bCs/>
          <w:kern w:val="0"/>
          <w:sz w:val="32"/>
          <w:szCs w:val="32"/>
          <w:lang w:val="en-US" w:eastAsia="zh-CN"/>
        </w:rPr>
      </w:pPr>
      <w:r>
        <w:rPr>
          <w:rStyle w:val="22"/>
          <w:rFonts w:hint="default" w:ascii="Times New Roman" w:hAnsi="Times New Roman" w:eastAsia="仿宋" w:cs="Times New Roman"/>
          <w:b/>
          <w:bCs/>
          <w:color w:val="auto"/>
          <w:sz w:val="32"/>
          <w:szCs w:val="32"/>
          <w:highlight w:val="none"/>
        </w:rPr>
        <w:t>1</w:t>
      </w:r>
      <w:r>
        <w:rPr>
          <w:rStyle w:val="22"/>
          <w:rFonts w:hint="default" w:ascii="Times New Roman" w:hAnsi="Times New Roman" w:eastAsia="仿宋" w:cs="Times New Roman"/>
          <w:b/>
          <w:bCs/>
          <w:color w:val="auto"/>
          <w:sz w:val="32"/>
          <w:szCs w:val="32"/>
          <w:highlight w:val="none"/>
          <w:lang w:val="en-US" w:eastAsia="zh-CN"/>
        </w:rPr>
        <w:t>3</w:t>
      </w:r>
      <w:r>
        <w:rPr>
          <w:rStyle w:val="22"/>
          <w:rFonts w:hint="default" w:ascii="Times New Roman" w:hAnsi="Times New Roman" w:eastAsia="仿宋" w:cs="Times New Roman"/>
          <w:b/>
          <w:bCs/>
          <w:color w:val="auto"/>
          <w:sz w:val="32"/>
          <w:szCs w:val="32"/>
          <w:highlight w:val="none"/>
        </w:rPr>
        <w:t>.卫生健康支出（类）行政事业单位医疗（款）公务员医疗补助（项）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kern w:val="0"/>
          <w:sz w:val="32"/>
          <w:szCs w:val="32"/>
        </w:rPr>
        <w:t>支出决算为</w:t>
      </w:r>
      <w:r>
        <w:rPr>
          <w:rFonts w:hint="default" w:ascii="Times New Roman" w:hAnsi="Times New Roman" w:eastAsia="仿宋_GB2312" w:cs="Times New Roman"/>
          <w:b/>
          <w:bCs/>
          <w:kern w:val="0"/>
          <w:sz w:val="32"/>
          <w:szCs w:val="32"/>
          <w:lang w:val="en-US" w:eastAsia="zh-CN"/>
        </w:rPr>
        <w:t>4.56</w:t>
      </w:r>
      <w:r>
        <w:rPr>
          <w:rFonts w:hint="default" w:ascii="Times New Roman" w:hAnsi="Times New Roman" w:eastAsia="仿宋_GB2312" w:cs="Times New Roman"/>
          <w:b/>
          <w:bCs/>
          <w:kern w:val="0"/>
          <w:sz w:val="32"/>
          <w:szCs w:val="32"/>
        </w:rPr>
        <w:t>万元，完成预算</w:t>
      </w:r>
      <w:r>
        <w:rPr>
          <w:rFonts w:hint="default" w:ascii="Times New Roman" w:hAnsi="Times New Roman" w:eastAsia="仿宋_GB2312" w:cs="Times New Roman"/>
          <w:b/>
          <w:bCs/>
          <w:kern w:val="0"/>
          <w:sz w:val="32"/>
          <w:szCs w:val="32"/>
          <w:lang w:val="en-US" w:eastAsia="zh-CN"/>
        </w:rPr>
        <w:t>100</w:t>
      </w:r>
      <w:r>
        <w:rPr>
          <w:rFonts w:hint="default" w:ascii="Times New Roman" w:hAnsi="Times New Roman" w:eastAsia="仿宋_GB2312" w:cs="Times New Roman"/>
          <w:b/>
          <w:bCs/>
          <w:kern w:val="0"/>
          <w:sz w:val="32"/>
          <w:szCs w:val="32"/>
        </w:rPr>
        <w:t>%，决算数</w:t>
      </w:r>
      <w:r>
        <w:rPr>
          <w:rFonts w:hint="default" w:ascii="Times New Roman" w:hAnsi="Times New Roman" w:eastAsia="仿宋_GB2312" w:cs="Times New Roman"/>
          <w:b/>
          <w:bCs/>
          <w:kern w:val="0"/>
          <w:sz w:val="32"/>
          <w:szCs w:val="32"/>
          <w:lang w:val="en-US" w:eastAsia="zh-CN"/>
        </w:rPr>
        <w:t>等于</w:t>
      </w:r>
      <w:r>
        <w:rPr>
          <w:rFonts w:hint="default" w:ascii="Times New Roman" w:hAnsi="Times New Roman" w:eastAsia="仿宋_GB2312" w:cs="Times New Roman"/>
          <w:b/>
          <w:bCs/>
          <w:kern w:val="0"/>
          <w:sz w:val="32"/>
          <w:szCs w:val="32"/>
        </w:rPr>
        <w:t>预算数</w:t>
      </w:r>
      <w:r>
        <w:rPr>
          <w:rFonts w:hint="default" w:ascii="Times New Roman" w:hAnsi="Times New Roman" w:eastAsia="仿宋_GB2312" w:cs="Times New Roman"/>
          <w:b/>
          <w:bCs/>
          <w:kern w:val="0"/>
          <w:sz w:val="32"/>
          <w:szCs w:val="32"/>
          <w:lang w:val="en-US" w:eastAsia="zh-CN"/>
        </w:rPr>
        <w:t>。</w:t>
      </w:r>
    </w:p>
    <w:p>
      <w:pPr>
        <w:spacing w:line="570" w:lineRule="exact"/>
        <w:ind w:firstLine="643" w:firstLineChars="200"/>
        <w:rPr>
          <w:rFonts w:hint="default" w:ascii="Times New Roman" w:hAnsi="Times New Roman" w:eastAsia="仿宋_GB2312" w:cs="Times New Roman"/>
          <w:b/>
          <w:bCs/>
          <w:kern w:val="0"/>
          <w:sz w:val="32"/>
          <w:szCs w:val="32"/>
        </w:rPr>
      </w:pPr>
      <w:r>
        <w:rPr>
          <w:rStyle w:val="22"/>
          <w:rFonts w:hint="default" w:ascii="Times New Roman" w:hAnsi="Times New Roman" w:eastAsia="仿宋" w:cs="Times New Roman"/>
          <w:b/>
          <w:bCs/>
          <w:color w:val="auto"/>
          <w:sz w:val="32"/>
          <w:szCs w:val="32"/>
          <w:highlight w:val="none"/>
        </w:rPr>
        <w:t>1</w:t>
      </w:r>
      <w:r>
        <w:rPr>
          <w:rStyle w:val="22"/>
          <w:rFonts w:hint="default" w:ascii="Times New Roman" w:hAnsi="Times New Roman" w:eastAsia="仿宋" w:cs="Times New Roman"/>
          <w:b/>
          <w:bCs/>
          <w:color w:val="auto"/>
          <w:sz w:val="32"/>
          <w:szCs w:val="32"/>
          <w:highlight w:val="none"/>
          <w:lang w:val="en-US" w:eastAsia="zh-CN"/>
        </w:rPr>
        <w:t>4</w:t>
      </w:r>
      <w:r>
        <w:rPr>
          <w:rStyle w:val="22"/>
          <w:rFonts w:hint="default" w:ascii="Times New Roman" w:hAnsi="Times New Roman" w:eastAsia="仿宋" w:cs="Times New Roman"/>
          <w:b/>
          <w:bCs/>
          <w:color w:val="auto"/>
          <w:sz w:val="32"/>
          <w:szCs w:val="32"/>
          <w:highlight w:val="none"/>
        </w:rPr>
        <w:t>.卫生健康支出（类）行政事业单位医疗（款）其他行政事业单位医疗支出（项）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kern w:val="0"/>
          <w:sz w:val="32"/>
          <w:szCs w:val="32"/>
        </w:rPr>
        <w:t>支出决算为</w:t>
      </w:r>
      <w:r>
        <w:rPr>
          <w:rFonts w:hint="default" w:ascii="Times New Roman" w:hAnsi="Times New Roman" w:eastAsia="仿宋_GB2312" w:cs="Times New Roman"/>
          <w:b/>
          <w:bCs/>
          <w:kern w:val="0"/>
          <w:sz w:val="32"/>
          <w:szCs w:val="32"/>
          <w:lang w:val="en-US" w:eastAsia="zh-CN"/>
        </w:rPr>
        <w:t>3.84</w:t>
      </w:r>
      <w:r>
        <w:rPr>
          <w:rFonts w:hint="default" w:ascii="Times New Roman" w:hAnsi="Times New Roman" w:eastAsia="仿宋_GB2312" w:cs="Times New Roman"/>
          <w:b/>
          <w:bCs/>
          <w:kern w:val="0"/>
          <w:sz w:val="32"/>
          <w:szCs w:val="32"/>
        </w:rPr>
        <w:t>万元，完成预算</w:t>
      </w:r>
      <w:r>
        <w:rPr>
          <w:rFonts w:hint="default" w:ascii="Times New Roman" w:hAnsi="Times New Roman" w:eastAsia="仿宋_GB2312" w:cs="Times New Roman"/>
          <w:b/>
          <w:bCs/>
          <w:kern w:val="0"/>
          <w:sz w:val="32"/>
          <w:szCs w:val="32"/>
          <w:lang w:val="en-US" w:eastAsia="zh-CN"/>
        </w:rPr>
        <w:t>91.2</w:t>
      </w:r>
      <w:r>
        <w:rPr>
          <w:rFonts w:hint="default" w:ascii="Times New Roman" w:hAnsi="Times New Roman" w:eastAsia="仿宋_GB2312" w:cs="Times New Roman"/>
          <w:b/>
          <w:bCs/>
          <w:kern w:val="0"/>
          <w:sz w:val="32"/>
          <w:szCs w:val="32"/>
        </w:rPr>
        <w:t>%，决算数</w:t>
      </w:r>
      <w:r>
        <w:rPr>
          <w:rFonts w:hint="default" w:ascii="Times New Roman" w:hAnsi="Times New Roman" w:eastAsia="仿宋_GB2312" w:cs="Times New Roman"/>
          <w:b/>
          <w:bCs/>
          <w:kern w:val="0"/>
          <w:sz w:val="32"/>
          <w:szCs w:val="32"/>
          <w:lang w:val="en-US" w:eastAsia="zh-CN"/>
        </w:rPr>
        <w:t>小于</w:t>
      </w:r>
      <w:r>
        <w:rPr>
          <w:rFonts w:hint="default" w:ascii="Times New Roman" w:hAnsi="Times New Roman" w:eastAsia="仿宋_GB2312" w:cs="Times New Roman"/>
          <w:b/>
          <w:bCs/>
          <w:kern w:val="0"/>
          <w:sz w:val="32"/>
          <w:szCs w:val="32"/>
        </w:rPr>
        <w:t>预算数</w:t>
      </w:r>
      <w:r>
        <w:rPr>
          <w:rFonts w:hint="default" w:ascii="Times New Roman" w:hAnsi="Times New Roman" w:eastAsia="仿宋_GB2312" w:cs="Times New Roman"/>
          <w:b/>
          <w:bCs/>
          <w:kern w:val="0"/>
          <w:sz w:val="32"/>
          <w:szCs w:val="32"/>
          <w:lang w:val="en-US" w:eastAsia="zh-CN"/>
        </w:rPr>
        <w:t>的原因是</w:t>
      </w:r>
      <w:r>
        <w:rPr>
          <w:rStyle w:val="22"/>
          <w:rFonts w:hint="default" w:ascii="Times New Roman" w:hAnsi="Times New Roman" w:eastAsia="仿宋" w:cs="Times New Roman"/>
          <w:b/>
          <w:bCs/>
          <w:sz w:val="32"/>
          <w:szCs w:val="32"/>
        </w:rPr>
        <w:t>职工体检据实报销。</w:t>
      </w:r>
    </w:p>
    <w:p>
      <w:pPr>
        <w:spacing w:line="570" w:lineRule="exact"/>
        <w:ind w:firstLine="643" w:firstLineChars="200"/>
        <w:rPr>
          <w:rStyle w:val="22"/>
          <w:rFonts w:hint="default" w:ascii="Times New Roman" w:hAnsi="Times New Roman" w:eastAsia="仿宋" w:cs="Times New Roman"/>
          <w:b/>
          <w:bCs/>
          <w:kern w:val="2"/>
          <w:sz w:val="32"/>
          <w:szCs w:val="32"/>
          <w:lang w:val="en-US" w:eastAsia="zh-CN" w:bidi="ar-SA"/>
        </w:rPr>
      </w:pPr>
      <w:r>
        <w:rPr>
          <w:rStyle w:val="22"/>
          <w:rFonts w:hint="default" w:ascii="Times New Roman" w:hAnsi="Times New Roman" w:eastAsia="仿宋" w:cs="Times New Roman"/>
          <w:b/>
          <w:bCs/>
          <w:color w:val="auto"/>
          <w:sz w:val="32"/>
          <w:szCs w:val="32"/>
          <w:highlight w:val="none"/>
        </w:rPr>
        <w:t>1</w:t>
      </w:r>
      <w:r>
        <w:rPr>
          <w:rStyle w:val="22"/>
          <w:rFonts w:hint="default" w:ascii="Times New Roman" w:hAnsi="Times New Roman" w:eastAsia="仿宋" w:cs="Times New Roman"/>
          <w:b/>
          <w:bCs/>
          <w:color w:val="auto"/>
          <w:sz w:val="32"/>
          <w:szCs w:val="32"/>
          <w:highlight w:val="none"/>
          <w:lang w:val="en-US" w:eastAsia="zh-CN"/>
        </w:rPr>
        <w:t>5</w:t>
      </w:r>
      <w:r>
        <w:rPr>
          <w:rStyle w:val="22"/>
          <w:rFonts w:hint="default" w:ascii="Times New Roman" w:hAnsi="Times New Roman" w:eastAsia="仿宋" w:cs="Times New Roman"/>
          <w:b/>
          <w:bCs/>
          <w:color w:val="auto"/>
          <w:sz w:val="32"/>
          <w:szCs w:val="32"/>
          <w:highlight w:val="none"/>
        </w:rPr>
        <w:t>.住房保障支出（类）住房改革支出（款）住房公积金（项）</w:t>
      </w:r>
      <w:r>
        <w:rPr>
          <w:rStyle w:val="22"/>
          <w:rFonts w:hint="default" w:ascii="Times New Roman" w:hAnsi="Times New Roman" w:eastAsia="仿宋" w:cs="Times New Roman"/>
          <w:b/>
          <w:bCs/>
          <w:color w:val="auto"/>
          <w:sz w:val="32"/>
          <w:szCs w:val="32"/>
          <w:highlight w:val="none"/>
          <w:lang w:eastAsia="zh-CN"/>
        </w:rPr>
        <w:t>：</w:t>
      </w:r>
      <w:r>
        <w:rPr>
          <w:rStyle w:val="22"/>
          <w:rFonts w:hint="default" w:ascii="Times New Roman" w:hAnsi="Times New Roman" w:eastAsia="仿宋" w:cs="Times New Roman"/>
          <w:b/>
          <w:bCs/>
          <w:color w:val="auto"/>
          <w:sz w:val="32"/>
          <w:szCs w:val="32"/>
          <w:highlight w:val="none"/>
        </w:rPr>
        <w:t>支出</w:t>
      </w:r>
      <w:r>
        <w:rPr>
          <w:rFonts w:hint="default" w:ascii="Times New Roman" w:hAnsi="Times New Roman" w:eastAsia="仿宋_GB2312" w:cs="Times New Roman"/>
          <w:b/>
          <w:bCs/>
          <w:kern w:val="0"/>
          <w:sz w:val="32"/>
          <w:szCs w:val="32"/>
        </w:rPr>
        <w:t>决算为</w:t>
      </w:r>
      <w:r>
        <w:rPr>
          <w:rFonts w:hint="default" w:ascii="Times New Roman" w:hAnsi="Times New Roman" w:eastAsia="仿宋_GB2312" w:cs="Times New Roman"/>
          <w:b/>
          <w:bCs/>
          <w:kern w:val="0"/>
          <w:sz w:val="32"/>
          <w:szCs w:val="32"/>
          <w:lang w:val="en-US" w:eastAsia="zh-CN"/>
        </w:rPr>
        <w:t>49.58</w:t>
      </w:r>
      <w:r>
        <w:rPr>
          <w:rFonts w:hint="default" w:ascii="Times New Roman" w:hAnsi="Times New Roman" w:eastAsia="仿宋_GB2312" w:cs="Times New Roman"/>
          <w:b/>
          <w:bCs/>
          <w:kern w:val="0"/>
          <w:sz w:val="32"/>
          <w:szCs w:val="32"/>
        </w:rPr>
        <w:t>万元，完成预算</w:t>
      </w:r>
      <w:r>
        <w:rPr>
          <w:rFonts w:hint="default" w:ascii="Times New Roman" w:hAnsi="Times New Roman" w:eastAsia="仿宋_GB2312" w:cs="Times New Roman"/>
          <w:b/>
          <w:bCs/>
          <w:kern w:val="0"/>
          <w:sz w:val="32"/>
          <w:szCs w:val="32"/>
          <w:lang w:val="en-US" w:eastAsia="zh-CN"/>
        </w:rPr>
        <w:t>99.72</w:t>
      </w:r>
      <w:r>
        <w:rPr>
          <w:rFonts w:hint="default" w:ascii="Times New Roman" w:hAnsi="Times New Roman" w:eastAsia="仿宋_GB2312" w:cs="Times New Roman"/>
          <w:b/>
          <w:bCs/>
          <w:kern w:val="0"/>
          <w:sz w:val="32"/>
          <w:szCs w:val="32"/>
        </w:rPr>
        <w:t>%，决算数</w:t>
      </w:r>
      <w:r>
        <w:rPr>
          <w:rFonts w:hint="default" w:ascii="Times New Roman" w:hAnsi="Times New Roman" w:eastAsia="仿宋_GB2312" w:cs="Times New Roman"/>
          <w:b/>
          <w:bCs/>
          <w:kern w:val="0"/>
          <w:sz w:val="32"/>
          <w:szCs w:val="32"/>
          <w:lang w:val="en-US" w:eastAsia="zh-CN"/>
        </w:rPr>
        <w:t>与</w:t>
      </w:r>
      <w:r>
        <w:rPr>
          <w:rFonts w:hint="default" w:ascii="Times New Roman" w:hAnsi="Times New Roman" w:eastAsia="仿宋_GB2312" w:cs="Times New Roman"/>
          <w:b/>
          <w:bCs/>
          <w:kern w:val="0"/>
          <w:sz w:val="32"/>
          <w:szCs w:val="32"/>
        </w:rPr>
        <w:t>预算数</w:t>
      </w:r>
      <w:r>
        <w:rPr>
          <w:rFonts w:hint="default" w:ascii="Times New Roman" w:hAnsi="Times New Roman" w:eastAsia="仿宋_GB2312" w:cs="Times New Roman"/>
          <w:b/>
          <w:bCs/>
          <w:kern w:val="0"/>
          <w:sz w:val="32"/>
          <w:szCs w:val="32"/>
          <w:lang w:val="en-US" w:eastAsia="zh-CN"/>
        </w:rPr>
        <w:t>基本持平</w:t>
      </w:r>
      <w:r>
        <w:rPr>
          <w:rFonts w:hint="default" w:ascii="Times New Roman" w:hAnsi="Times New Roman" w:eastAsia="仿宋_GB2312" w:cs="Times New Roman"/>
          <w:b/>
          <w:bCs/>
          <w:kern w:val="0"/>
          <w:sz w:val="32"/>
          <w:szCs w:val="32"/>
        </w:rPr>
        <w:t>。</w:t>
      </w:r>
    </w:p>
    <w:p>
      <w:pPr>
        <w:spacing w:line="570" w:lineRule="exact"/>
        <w:ind w:firstLine="643" w:firstLineChars="200"/>
        <w:rPr>
          <w:rFonts w:hint="default" w:ascii="Times New Roman" w:hAnsi="Times New Roman" w:eastAsia="仿宋" w:cs="Times New Roman"/>
          <w:b/>
          <w:bCs/>
          <w:color w:val="auto"/>
          <w:sz w:val="32"/>
          <w:szCs w:val="32"/>
          <w:highlight w:val="none"/>
        </w:rPr>
      </w:pPr>
      <w:r>
        <w:rPr>
          <w:rStyle w:val="22"/>
          <w:rFonts w:hint="default" w:ascii="Times New Roman" w:hAnsi="Times New Roman" w:eastAsia="仿宋" w:cs="Times New Roman"/>
          <w:b/>
          <w:bCs/>
          <w:color w:val="auto"/>
          <w:sz w:val="32"/>
          <w:szCs w:val="32"/>
          <w:highlight w:val="none"/>
        </w:rPr>
        <w:t>1</w:t>
      </w:r>
      <w:r>
        <w:rPr>
          <w:rStyle w:val="22"/>
          <w:rFonts w:hint="default" w:ascii="Times New Roman" w:hAnsi="Times New Roman" w:eastAsia="仿宋" w:cs="Times New Roman"/>
          <w:b/>
          <w:bCs/>
          <w:color w:val="auto"/>
          <w:sz w:val="32"/>
          <w:szCs w:val="32"/>
          <w:highlight w:val="none"/>
          <w:lang w:val="en-US" w:eastAsia="zh-CN"/>
        </w:rPr>
        <w:t>6</w:t>
      </w:r>
      <w:r>
        <w:rPr>
          <w:rStyle w:val="22"/>
          <w:rFonts w:hint="default" w:ascii="Times New Roman" w:hAnsi="Times New Roman" w:eastAsia="仿宋" w:cs="Times New Roman"/>
          <w:b/>
          <w:bCs/>
          <w:color w:val="auto"/>
          <w:sz w:val="32"/>
          <w:szCs w:val="32"/>
          <w:highlight w:val="none"/>
        </w:rPr>
        <w:t>.住房保障支出（类）住房改革支出（款）购房补贴（项）</w:t>
      </w:r>
      <w:r>
        <w:rPr>
          <w:rStyle w:val="22"/>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_GB2312" w:cs="Times New Roman"/>
          <w:b/>
          <w:bCs/>
          <w:kern w:val="0"/>
          <w:sz w:val="32"/>
          <w:szCs w:val="32"/>
        </w:rPr>
        <w:t>支出决算为</w:t>
      </w:r>
      <w:r>
        <w:rPr>
          <w:rFonts w:hint="default" w:ascii="Times New Roman" w:hAnsi="Times New Roman" w:eastAsia="仿宋_GB2312" w:cs="Times New Roman"/>
          <w:b/>
          <w:bCs/>
          <w:kern w:val="0"/>
          <w:sz w:val="32"/>
          <w:szCs w:val="32"/>
          <w:lang w:val="en-US" w:eastAsia="zh-CN"/>
        </w:rPr>
        <w:t>4.69</w:t>
      </w:r>
      <w:r>
        <w:rPr>
          <w:rFonts w:hint="default" w:ascii="Times New Roman" w:hAnsi="Times New Roman" w:eastAsia="仿宋_GB2312" w:cs="Times New Roman"/>
          <w:b/>
          <w:bCs/>
          <w:kern w:val="0"/>
          <w:sz w:val="32"/>
          <w:szCs w:val="32"/>
        </w:rPr>
        <w:t>万元，完成预算100%，决算数等于预算数。</w:t>
      </w:r>
    </w:p>
    <w:bookmarkEnd w:id="35"/>
    <w:bookmarkEnd w:id="36"/>
    <w:bookmarkEnd w:id="37"/>
    <w:p>
      <w:pPr>
        <w:tabs>
          <w:tab w:val="right" w:pos="8306"/>
        </w:tabs>
        <w:spacing w:line="600" w:lineRule="exact"/>
        <w:ind w:firstLine="640"/>
        <w:outlineLvl w:val="1"/>
        <w:rPr>
          <w:rStyle w:val="33"/>
          <w:rFonts w:hint="default" w:ascii="Times New Roman" w:hAnsi="Times New Roman" w:cs="Times New Roman"/>
          <w:b/>
          <w:bCs/>
          <w:color w:val="auto"/>
          <w:highlight w:val="none"/>
        </w:rPr>
      </w:pPr>
      <w:bookmarkStart w:id="38" w:name="_Toc15377214"/>
      <w:bookmarkStart w:id="39" w:name="_Toc15396608"/>
      <w:r>
        <w:rPr>
          <w:rFonts w:hint="default" w:ascii="Times New Roman" w:hAnsi="Times New Roman" w:eastAsia="黑体" w:cs="Times New Roman"/>
          <w:b/>
          <w:bCs/>
          <w:color w:val="auto"/>
          <w:sz w:val="32"/>
          <w:szCs w:val="32"/>
          <w:highlight w:val="none"/>
        </w:rPr>
        <w:t>六、一</w:t>
      </w:r>
      <w:r>
        <w:rPr>
          <w:rStyle w:val="33"/>
          <w:rFonts w:hint="default" w:ascii="Times New Roman" w:hAnsi="Times New Roman" w:eastAsia="黑体" w:cs="Times New Roman"/>
          <w:b/>
          <w:bCs/>
          <w:color w:val="auto"/>
          <w:highlight w:val="none"/>
        </w:rPr>
        <w:t>般公共预算财政拨款基本支出决算情况说明</w:t>
      </w:r>
      <w:bookmarkEnd w:id="38"/>
      <w:bookmarkEnd w:id="39"/>
      <w:r>
        <w:rPr>
          <w:rStyle w:val="33"/>
          <w:rFonts w:hint="default" w:ascii="Times New Roman" w:hAnsi="Times New Roman" w:eastAsia="黑体" w:cs="Times New Roman"/>
          <w:b/>
          <w:bCs/>
          <w:color w:val="auto"/>
          <w:highlight w:val="none"/>
        </w:rPr>
        <w:tab/>
      </w:r>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2024年度一般公共预算财政拨款基本支出</w:t>
      </w:r>
      <w:r>
        <w:rPr>
          <w:rFonts w:hint="default" w:ascii="Times New Roman" w:hAnsi="Times New Roman" w:eastAsia="仿宋_GB2312" w:cs="Times New Roman"/>
          <w:b/>
          <w:bCs/>
          <w:sz w:val="32"/>
          <w:szCs w:val="32"/>
          <w:lang w:val="en-US"/>
        </w:rPr>
        <w:t>809</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rPr>
        <w:t>36</w:t>
      </w:r>
      <w:r>
        <w:rPr>
          <w:rFonts w:hint="default" w:ascii="Times New Roman" w:hAnsi="Times New Roman" w:eastAsia="仿宋_GB2312" w:cs="Times New Roman"/>
          <w:b/>
          <w:bCs/>
          <w:color w:val="auto"/>
          <w:kern w:val="2"/>
          <w:sz w:val="32"/>
          <w:szCs w:val="32"/>
          <w:highlight w:val="none"/>
          <w:lang w:val="en-US" w:eastAsia="zh-CN" w:bidi="ar-SA"/>
        </w:rPr>
        <w:t>万元，其中：</w:t>
      </w:r>
    </w:p>
    <w:p>
      <w:pPr>
        <w:spacing w:line="600" w:lineRule="exact"/>
        <w:ind w:firstLine="645"/>
        <w:rPr>
          <w:rFonts w:hint="default" w:ascii="Times New Roman" w:hAnsi="Times New Roman" w:eastAsia="仿宋" w:cs="Times New Roman"/>
          <w:b/>
          <w:bCs/>
          <w:color w:val="auto"/>
          <w:sz w:val="32"/>
          <w:szCs w:val="32"/>
          <w:highlight w:val="none"/>
          <w:lang w:eastAsia="zh-CN"/>
        </w:rPr>
      </w:pPr>
      <w:r>
        <w:rPr>
          <w:rFonts w:hint="default" w:ascii="Times New Roman" w:hAnsi="Times New Roman" w:eastAsia="仿宋_GB2312" w:cs="Times New Roman"/>
          <w:b/>
          <w:bCs/>
          <w:color w:val="auto"/>
          <w:kern w:val="2"/>
          <w:sz w:val="32"/>
          <w:szCs w:val="32"/>
          <w:highlight w:val="none"/>
          <w:lang w:val="en-US" w:eastAsia="zh-CN" w:bidi="ar-SA"/>
        </w:rPr>
        <w:t>人员经费</w:t>
      </w:r>
      <w:r>
        <w:rPr>
          <w:rFonts w:hint="default" w:ascii="Times New Roman" w:hAnsi="Times New Roman" w:eastAsia="仿宋_GB2312" w:cs="Times New Roman"/>
          <w:b/>
          <w:bCs/>
          <w:sz w:val="32"/>
          <w:szCs w:val="32"/>
          <w:lang w:val="en-US"/>
        </w:rPr>
        <w:t>665</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rPr>
        <w:t>8</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color w:val="auto"/>
          <w:kern w:val="2"/>
          <w:sz w:val="32"/>
          <w:szCs w:val="32"/>
          <w:highlight w:val="none"/>
          <w:lang w:val="en-US" w:eastAsia="zh-CN" w:bidi="ar-SA"/>
        </w:rPr>
        <w:t>万元，主要包括：</w:t>
      </w:r>
      <w:r>
        <w:rPr>
          <w:rFonts w:hint="default" w:ascii="Times New Roman" w:hAnsi="Times New Roman" w:eastAsia="仿宋" w:cs="Times New Roman"/>
          <w:b/>
          <w:bCs/>
          <w:color w:val="auto"/>
          <w:sz w:val="32"/>
          <w:szCs w:val="32"/>
          <w:highlight w:val="none"/>
        </w:rPr>
        <w:t>基本工资、津贴补贴、奖金、</w:t>
      </w:r>
      <w:r>
        <w:rPr>
          <w:rFonts w:hint="default" w:ascii="Times New Roman" w:hAnsi="Times New Roman" w:eastAsia="仿宋" w:cs="Times New Roman"/>
          <w:b/>
          <w:bCs/>
          <w:color w:val="auto"/>
          <w:sz w:val="32"/>
          <w:szCs w:val="32"/>
          <w:highlight w:val="none"/>
          <w:lang w:val="en-US" w:eastAsia="zh-CN"/>
        </w:rPr>
        <w:t>奖金、</w:t>
      </w:r>
      <w:r>
        <w:rPr>
          <w:rFonts w:hint="default" w:ascii="Times New Roman" w:hAnsi="Times New Roman" w:eastAsia="仿宋" w:cs="Times New Roman"/>
          <w:b/>
          <w:bCs/>
          <w:color w:val="auto"/>
          <w:sz w:val="32"/>
          <w:szCs w:val="32"/>
          <w:highlight w:val="none"/>
        </w:rPr>
        <w:t>绩效工资、机关事业单位基本养老保险缴费、职业年金缴费、职工基本医疗保险缴费</w:t>
      </w:r>
      <w:r>
        <w:rPr>
          <w:rFonts w:hint="default" w:ascii="Times New Roman" w:hAnsi="Times New Roman" w:eastAsia="仿宋" w:cs="Times New Roman"/>
          <w:b/>
          <w:bCs/>
          <w:color w:val="auto"/>
          <w:sz w:val="32"/>
          <w:szCs w:val="32"/>
          <w:highlight w:val="none"/>
          <w:lang w:eastAsia="zh-CN"/>
        </w:rPr>
        <w:t>、公务员医疗补助缴费、</w:t>
      </w:r>
      <w:r>
        <w:rPr>
          <w:rFonts w:hint="default" w:ascii="Times New Roman" w:hAnsi="Times New Roman" w:eastAsia="仿宋" w:cs="Times New Roman"/>
          <w:b/>
          <w:bCs/>
          <w:color w:val="auto"/>
          <w:sz w:val="32"/>
          <w:szCs w:val="32"/>
          <w:highlight w:val="none"/>
        </w:rPr>
        <w:t>其他社会保障缴费、其他工资福利支出、住房公积金、其他对个人和家庭的补助支出等。</w:t>
      </w:r>
    </w:p>
    <w:p>
      <w:pPr>
        <w:spacing w:line="600" w:lineRule="exact"/>
        <w:ind w:firstLine="645"/>
        <w:rPr>
          <w:rFonts w:hint="default" w:ascii="Times New Roman" w:hAnsi="Times New Roman" w:eastAsia="仿宋" w:cs="Times New Roman"/>
          <w:b/>
          <w:bCs/>
          <w:color w:val="auto"/>
          <w:sz w:val="32"/>
          <w:szCs w:val="32"/>
          <w:highlight w:val="none"/>
        </w:rPr>
      </w:pPr>
      <w:r>
        <w:rPr>
          <w:rFonts w:hint="default" w:ascii="Times New Roman" w:hAnsi="Times New Roman" w:eastAsia="仿宋_GB2312" w:cs="Times New Roman"/>
          <w:b/>
          <w:bCs/>
          <w:color w:val="auto"/>
          <w:kern w:val="2"/>
          <w:sz w:val="32"/>
          <w:szCs w:val="32"/>
          <w:highlight w:val="none"/>
          <w:lang w:val="en-US" w:eastAsia="zh-CN" w:bidi="ar-SA"/>
        </w:rPr>
        <w:t>公用经费</w:t>
      </w:r>
      <w:r>
        <w:rPr>
          <w:rFonts w:hint="default" w:ascii="Times New Roman" w:hAnsi="Times New Roman" w:eastAsia="仿宋_GB2312" w:cs="Times New Roman"/>
          <w:b/>
          <w:bCs/>
          <w:sz w:val="32"/>
          <w:szCs w:val="32"/>
          <w:lang w:val="en-US"/>
        </w:rPr>
        <w:t>143</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rPr>
        <w:t>53</w:t>
      </w:r>
      <w:r>
        <w:rPr>
          <w:rFonts w:hint="default" w:ascii="Times New Roman" w:hAnsi="Times New Roman" w:eastAsia="仿宋_GB2312" w:cs="Times New Roman"/>
          <w:b/>
          <w:bCs/>
          <w:color w:val="auto"/>
          <w:kern w:val="2"/>
          <w:sz w:val="32"/>
          <w:szCs w:val="32"/>
          <w:highlight w:val="none"/>
          <w:lang w:val="en-US" w:eastAsia="zh-CN" w:bidi="ar-SA"/>
        </w:rPr>
        <w:t>万元，主要包括：</w:t>
      </w:r>
      <w:r>
        <w:rPr>
          <w:rFonts w:hint="default" w:ascii="Times New Roman" w:hAnsi="Times New Roman" w:eastAsia="仿宋" w:cs="Times New Roman"/>
          <w:b/>
          <w:bCs/>
          <w:color w:val="auto"/>
          <w:sz w:val="32"/>
          <w:szCs w:val="32"/>
          <w:highlight w:val="none"/>
        </w:rPr>
        <w:t>办公费、邮电费</w:t>
      </w:r>
      <w:r>
        <w:rPr>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 w:cs="Times New Roman"/>
          <w:b/>
          <w:bCs/>
          <w:color w:val="auto"/>
          <w:sz w:val="32"/>
          <w:szCs w:val="32"/>
          <w:highlight w:val="none"/>
        </w:rPr>
        <w:t>物业管理费、差旅费、维修（护）费</w:t>
      </w:r>
      <w:r>
        <w:rPr>
          <w:rFonts w:hint="default" w:ascii="Times New Roman" w:hAnsi="Times New Roman" w:eastAsia="仿宋" w:cs="Times New Roman"/>
          <w:b/>
          <w:bCs/>
          <w:color w:val="auto"/>
          <w:sz w:val="32"/>
          <w:szCs w:val="32"/>
          <w:highlight w:val="none"/>
          <w:lang w:eastAsia="zh-CN"/>
        </w:rPr>
        <w:t>、</w:t>
      </w:r>
      <w:r>
        <w:rPr>
          <w:rFonts w:hint="default" w:ascii="Times New Roman" w:hAnsi="Times New Roman" w:eastAsia="仿宋" w:cs="Times New Roman"/>
          <w:b/>
          <w:bCs/>
          <w:color w:val="auto"/>
          <w:sz w:val="32"/>
          <w:szCs w:val="32"/>
          <w:highlight w:val="none"/>
        </w:rPr>
        <w:t>会议费、培训费、公务接待费、劳务费</w:t>
      </w:r>
      <w:r>
        <w:rPr>
          <w:rFonts w:hint="default" w:ascii="Times New Roman" w:hAnsi="Times New Roman" w:eastAsia="仿宋" w:cs="Times New Roman"/>
          <w:b/>
          <w:bCs/>
          <w:color w:val="auto"/>
          <w:sz w:val="32"/>
          <w:szCs w:val="32"/>
          <w:highlight w:val="none"/>
          <w:lang w:eastAsia="zh-CN"/>
        </w:rPr>
        <w:t>、委托业务费、</w:t>
      </w:r>
      <w:r>
        <w:rPr>
          <w:rFonts w:hint="default" w:ascii="Times New Roman" w:hAnsi="Times New Roman" w:eastAsia="仿宋" w:cs="Times New Roman"/>
          <w:b/>
          <w:bCs/>
          <w:color w:val="auto"/>
          <w:sz w:val="32"/>
          <w:szCs w:val="32"/>
          <w:highlight w:val="none"/>
        </w:rPr>
        <w:t>工会经费、福利费、公务用车运行维护费、其他交通费</w:t>
      </w:r>
      <w:r>
        <w:rPr>
          <w:rFonts w:hint="default" w:ascii="Times New Roman" w:hAnsi="Times New Roman" w:eastAsia="仿宋" w:cs="Times New Roman"/>
          <w:b/>
          <w:bCs/>
          <w:color w:val="auto"/>
          <w:sz w:val="32"/>
          <w:szCs w:val="32"/>
          <w:highlight w:val="none"/>
          <w:lang w:eastAsia="zh-CN"/>
        </w:rPr>
        <w:t>、其他商品和服务支出</w:t>
      </w:r>
      <w:r>
        <w:rPr>
          <w:rFonts w:hint="default" w:ascii="Times New Roman" w:hAnsi="Times New Roman" w:eastAsia="仿宋" w:cs="Times New Roman"/>
          <w:b/>
          <w:bCs/>
          <w:color w:val="auto"/>
          <w:sz w:val="32"/>
          <w:szCs w:val="32"/>
          <w:highlight w:val="none"/>
        </w:rPr>
        <w:t>等。</w:t>
      </w:r>
    </w:p>
    <w:p>
      <w:pPr>
        <w:spacing w:line="600" w:lineRule="exact"/>
        <w:ind w:firstLine="640"/>
        <w:outlineLvl w:val="1"/>
        <w:rPr>
          <w:rStyle w:val="33"/>
          <w:rFonts w:hint="default" w:ascii="Times New Roman" w:hAnsi="Times New Roman" w:eastAsia="黑体" w:cs="Times New Roman"/>
          <w:b/>
          <w:bCs/>
          <w:color w:val="auto"/>
          <w:highlight w:val="none"/>
        </w:rPr>
      </w:pPr>
      <w:bookmarkStart w:id="40" w:name="_Toc15377215"/>
      <w:bookmarkStart w:id="41" w:name="_Toc15396609"/>
      <w:r>
        <w:rPr>
          <w:rFonts w:hint="default" w:ascii="Times New Roman" w:hAnsi="Times New Roman" w:eastAsia="黑体" w:cs="Times New Roman"/>
          <w:b/>
          <w:bCs/>
          <w:color w:val="auto"/>
          <w:sz w:val="32"/>
          <w:szCs w:val="32"/>
          <w:highlight w:val="none"/>
        </w:rPr>
        <w:t>七、</w:t>
      </w:r>
      <w:r>
        <w:rPr>
          <w:rStyle w:val="33"/>
          <w:rFonts w:hint="default" w:ascii="Times New Roman" w:hAnsi="Times New Roman" w:eastAsia="黑体" w:cs="Times New Roman"/>
          <w:b/>
          <w:bCs/>
          <w:color w:val="auto"/>
          <w:highlight w:val="none"/>
        </w:rPr>
        <w:t>财政拨款“三公”经费支出决算情况说明</w:t>
      </w:r>
      <w:bookmarkEnd w:id="40"/>
      <w:bookmarkEnd w:id="41"/>
    </w:p>
    <w:p>
      <w:pPr>
        <w:spacing w:line="600" w:lineRule="exact"/>
        <w:ind w:firstLine="643" w:firstLineChars="200"/>
        <w:outlineLvl w:val="2"/>
        <w:rPr>
          <w:rFonts w:hint="default" w:ascii="Times New Roman" w:hAnsi="Times New Roman" w:eastAsia="楷体_GB2312" w:cs="Times New Roman"/>
          <w:b/>
          <w:bCs/>
          <w:color w:val="auto"/>
          <w:sz w:val="32"/>
          <w:szCs w:val="32"/>
          <w:highlight w:val="none"/>
        </w:rPr>
      </w:pPr>
      <w:bookmarkStart w:id="42" w:name="_Toc15377216"/>
      <w:r>
        <w:rPr>
          <w:rFonts w:hint="default" w:ascii="Times New Roman" w:hAnsi="Times New Roman" w:eastAsia="楷体_GB2312" w:cs="Times New Roman"/>
          <w:b/>
          <w:bCs/>
          <w:color w:val="auto"/>
          <w:sz w:val="32"/>
          <w:szCs w:val="32"/>
          <w:highlight w:val="none"/>
        </w:rPr>
        <w:t>（一）“三公”经费财政拨款支出决算总体情况说明</w:t>
      </w:r>
      <w:bookmarkEnd w:id="42"/>
    </w:p>
    <w:p>
      <w:pPr>
        <w:spacing w:line="600" w:lineRule="exact"/>
        <w:ind w:firstLine="640"/>
        <w:rPr>
          <w:rFonts w:hint="default" w:ascii="Times New Roman" w:hAnsi="Times New Roman" w:eastAsia="仿宋" w:cs="Times New Roman"/>
          <w:b/>
          <w:bCs/>
          <w:sz w:val="32"/>
          <w:szCs w:val="32"/>
        </w:rPr>
      </w:pPr>
      <w:r>
        <w:rPr>
          <w:rFonts w:hint="default" w:ascii="Times New Roman" w:hAnsi="Times New Roman" w:eastAsia="仿宋_GB2312" w:cs="Times New Roman"/>
          <w:b/>
          <w:bCs/>
          <w:color w:val="auto"/>
          <w:kern w:val="2"/>
          <w:sz w:val="32"/>
          <w:szCs w:val="32"/>
          <w:highlight w:val="none"/>
          <w:lang w:val="en-US" w:eastAsia="zh-CN" w:bidi="ar-SA"/>
        </w:rPr>
        <w:t>2024年度“三公”经费财政拨款支出决算为9.04万元，完成预算</w:t>
      </w:r>
      <w:r>
        <w:rPr>
          <w:rFonts w:hint="default" w:ascii="Times New Roman" w:hAnsi="Times New Roman" w:eastAsia="仿宋_GB2312" w:cs="Times New Roman"/>
          <w:b/>
          <w:bCs/>
          <w:sz w:val="32"/>
          <w:szCs w:val="32"/>
          <w:lang w:val="en-US" w:eastAsia="zh-CN"/>
        </w:rPr>
        <w:t>90.22</w:t>
      </w:r>
      <w:r>
        <w:rPr>
          <w:rFonts w:hint="default" w:ascii="Times New Roman" w:hAnsi="Times New Roman" w:eastAsia="仿宋_GB2312" w:cs="Times New Roman"/>
          <w:b/>
          <w:bCs/>
          <w:color w:val="auto"/>
          <w:kern w:val="2"/>
          <w:sz w:val="32"/>
          <w:szCs w:val="32"/>
          <w:highlight w:val="none"/>
          <w:lang w:val="en-US" w:eastAsia="zh-CN" w:bidi="ar-SA"/>
        </w:rPr>
        <w:t>%，较上年度减少1.43万元，下降13.65%。决算数小于预算数的主要原因是</w:t>
      </w:r>
      <w:r>
        <w:rPr>
          <w:rFonts w:hint="default" w:ascii="Times New Roman" w:hAnsi="Times New Roman" w:eastAsia="仿宋" w:cs="Times New Roman"/>
          <w:b/>
          <w:bCs/>
          <w:color w:val="auto"/>
          <w:sz w:val="32"/>
          <w:szCs w:val="32"/>
          <w:highlight w:val="none"/>
          <w:lang w:val="en-US" w:eastAsia="zh-CN"/>
        </w:rPr>
        <w:t>落实“过紧日子”要求，坚持厉行节约原则，</w:t>
      </w:r>
      <w:r>
        <w:rPr>
          <w:rFonts w:hint="default" w:ascii="Times New Roman" w:hAnsi="Times New Roman" w:eastAsia="仿宋" w:cs="Times New Roman"/>
          <w:b/>
          <w:bCs/>
          <w:sz w:val="32"/>
          <w:szCs w:val="32"/>
        </w:rPr>
        <w:t>严格控制“三公”经费支出。</w:t>
      </w:r>
    </w:p>
    <w:p>
      <w:pPr>
        <w:spacing w:line="600" w:lineRule="exact"/>
        <w:ind w:firstLine="643" w:firstLineChars="200"/>
        <w:outlineLvl w:val="2"/>
        <w:rPr>
          <w:rFonts w:hint="default" w:ascii="Times New Roman" w:hAnsi="Times New Roman" w:eastAsia="楷体_GB2312" w:cs="Times New Roman"/>
          <w:b/>
          <w:bCs/>
          <w:color w:val="auto"/>
          <w:sz w:val="32"/>
          <w:szCs w:val="32"/>
          <w:highlight w:val="none"/>
        </w:rPr>
      </w:pPr>
      <w:bookmarkStart w:id="43" w:name="_Toc15377217"/>
      <w:r>
        <w:rPr>
          <w:rFonts w:hint="default" w:ascii="Times New Roman" w:hAnsi="Times New Roman" w:eastAsia="楷体_GB2312" w:cs="Times New Roman"/>
          <w:b/>
          <w:bCs/>
          <w:color w:val="auto"/>
          <w:sz w:val="32"/>
          <w:szCs w:val="32"/>
          <w:highlight w:val="none"/>
        </w:rPr>
        <w:t>（二）“三公”经费财政拨款支出决算具体情况说明</w:t>
      </w:r>
      <w:bookmarkEnd w:id="43"/>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2024年度“三公”经费财政拨款支出决算中，因公出国（境）费支出决算</w:t>
      </w:r>
      <w:r>
        <w:rPr>
          <w:rFonts w:hint="default" w:ascii="Times New Roman" w:hAnsi="Times New Roman" w:eastAsia="仿宋_GB2312" w:cs="Times New Roman"/>
          <w:b/>
          <w:bCs/>
          <w:sz w:val="32"/>
          <w:szCs w:val="32"/>
          <w:lang w:val="en-US" w:eastAsia="zh-CN"/>
        </w:rPr>
        <w:t>0</w:t>
      </w:r>
      <w:r>
        <w:rPr>
          <w:rFonts w:hint="default" w:ascii="Times New Roman" w:hAnsi="Times New Roman" w:eastAsia="仿宋_GB2312" w:cs="Times New Roman"/>
          <w:b/>
          <w:bCs/>
          <w:color w:val="auto"/>
          <w:kern w:val="2"/>
          <w:sz w:val="32"/>
          <w:szCs w:val="32"/>
          <w:highlight w:val="none"/>
          <w:lang w:val="en-US" w:eastAsia="zh-CN" w:bidi="ar-SA"/>
        </w:rPr>
        <w:t>万元，占0%；公务用车购置及运行维护费支出决算</w:t>
      </w:r>
      <w:r>
        <w:rPr>
          <w:rFonts w:hint="default" w:ascii="Times New Roman" w:hAnsi="Times New Roman" w:eastAsia="仿宋_GB2312" w:cs="Times New Roman"/>
          <w:b/>
          <w:bCs/>
          <w:sz w:val="32"/>
          <w:szCs w:val="32"/>
          <w:lang w:val="en-US"/>
        </w:rPr>
        <w:t>8.46</w:t>
      </w:r>
      <w:r>
        <w:rPr>
          <w:rFonts w:hint="default" w:ascii="Times New Roman" w:hAnsi="Times New Roman" w:eastAsia="仿宋_GB2312" w:cs="Times New Roman"/>
          <w:b/>
          <w:bCs/>
          <w:color w:val="auto"/>
          <w:kern w:val="2"/>
          <w:sz w:val="32"/>
          <w:szCs w:val="32"/>
          <w:highlight w:val="none"/>
          <w:lang w:val="en-US" w:eastAsia="zh-CN" w:bidi="ar-SA"/>
        </w:rPr>
        <w:t>万元，占93.58%；公务接待费支出决算</w:t>
      </w:r>
      <w:r>
        <w:rPr>
          <w:rFonts w:hint="default" w:ascii="Times New Roman" w:hAnsi="Times New Roman" w:eastAsia="仿宋_GB2312" w:cs="Times New Roman"/>
          <w:b/>
          <w:bCs/>
          <w:sz w:val="32"/>
          <w:szCs w:val="32"/>
          <w:lang w:val="en-US"/>
        </w:rPr>
        <w:t>0.58</w:t>
      </w:r>
      <w:r>
        <w:rPr>
          <w:rFonts w:hint="default" w:ascii="Times New Roman" w:hAnsi="Times New Roman" w:eastAsia="仿宋_GB2312" w:cs="Times New Roman"/>
          <w:b/>
          <w:bCs/>
          <w:color w:val="auto"/>
          <w:kern w:val="2"/>
          <w:sz w:val="32"/>
          <w:szCs w:val="32"/>
          <w:highlight w:val="none"/>
          <w:lang w:val="en-US" w:eastAsia="zh-CN" w:bidi="ar-SA"/>
        </w:rPr>
        <w:t>万元，占6.42%。具体情况如下：</w:t>
      </w:r>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 w:cs="Times New Roman"/>
          <w:b/>
          <w:bCs/>
          <w:lang w:eastAsia="zh-CN"/>
        </w:rPr>
        <w:pict>
          <v:shape id="Object 14" o:spid="_x0000_s1033" o:spt="75" type="#_x0000_t75" style="position:absolute;left:0pt;margin-left:39pt;margin-top:1.6pt;height:184.25pt;width:378.8pt;z-index:251665408;mso-width-relative:page;mso-height-relative:page;" o:ole="t" filled="f" o:preferrelative="t" stroked="f" coordsize="21600,21600">
            <v:path/>
            <v:fill on="f" focussize="0,0"/>
            <v:stroke on="f"/>
            <v:imagedata r:id="rId26" o:title=""/>
            <o:lock v:ext="edit" aspectratio="t"/>
          </v:shape>
          <o:OLEObject Type="Embed" ProgID="Excel.Chart.8" ShapeID="Object 14" DrawAspect="Content" ObjectID="_1468075731" r:id="rId25">
            <o:LockedField>false</o:LockedField>
          </o:OLEObject>
        </w:pict>
      </w:r>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p>
    <w:p>
      <w:pPr>
        <w:spacing w:line="600" w:lineRule="exact"/>
        <w:ind w:firstLine="640"/>
        <w:rPr>
          <w:rFonts w:hint="default" w:ascii="Times New Roman" w:hAnsi="Times New Roman" w:eastAsia="仿宋_GB2312" w:cs="Times New Roman"/>
          <w:b/>
          <w:bCs/>
          <w:color w:val="auto"/>
          <w:kern w:val="2"/>
          <w:sz w:val="32"/>
          <w:szCs w:val="32"/>
          <w:highlight w:val="none"/>
          <w:lang w:val="en-US" w:eastAsia="zh-CN" w:bidi="ar-SA"/>
        </w:rPr>
      </w:pPr>
    </w:p>
    <w:p>
      <w:pPr>
        <w:keepNext w:val="0"/>
        <w:keepLines w:val="0"/>
        <w:pageBreakBefore w:val="0"/>
        <w:kinsoku/>
        <w:wordWrap/>
        <w:overflowPunct/>
        <w:topLinePunct w:val="0"/>
        <w:autoSpaceDE/>
        <w:autoSpaceDN/>
        <w:bidi w:val="0"/>
        <w:spacing w:line="600" w:lineRule="exact"/>
        <w:ind w:firstLine="640"/>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（图7：“三公”经费财政拨款支出结构）</w:t>
      </w:r>
    </w:p>
    <w:p>
      <w:pPr>
        <w:keepNext w:val="0"/>
        <w:keepLines w:val="0"/>
        <w:pageBreakBefore w:val="0"/>
        <w:numPr>
          <w:ilvl w:val="0"/>
          <w:numId w:val="0"/>
        </w:numPr>
        <w:kinsoku/>
        <w:wordWrap/>
        <w:overflowPunct/>
        <w:topLinePunct w:val="0"/>
        <w:autoSpaceDE/>
        <w:autoSpaceDN/>
        <w:bidi w:val="0"/>
        <w:spacing w:line="600" w:lineRule="exact"/>
        <w:ind w:firstLine="640" w:firstLineChars="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bidi="ar-SA"/>
        </w:rPr>
        <w:t>1.</w:t>
      </w:r>
      <w:r>
        <w:rPr>
          <w:rFonts w:hint="default" w:ascii="Times New Roman" w:hAnsi="Times New Roman" w:eastAsia="仿宋_GB2312" w:cs="Times New Roman"/>
          <w:b/>
          <w:bCs/>
          <w:color w:val="auto"/>
          <w:kern w:val="2"/>
          <w:sz w:val="32"/>
          <w:szCs w:val="32"/>
          <w:highlight w:val="none"/>
          <w:lang w:val="en-US" w:eastAsia="zh-CN" w:bidi="ar-SA"/>
        </w:rPr>
        <w:t>因公出国（境）经费支出0万元，完成预算0%。</w:t>
      </w:r>
      <w:r>
        <w:rPr>
          <w:rFonts w:hint="default" w:ascii="Times New Roman" w:hAnsi="Times New Roman" w:eastAsia="仿宋_GB2312" w:cs="Times New Roman"/>
          <w:b/>
          <w:bCs/>
          <w:color w:val="auto"/>
          <w:sz w:val="32"/>
          <w:szCs w:val="32"/>
          <w:highlight w:val="none"/>
        </w:rPr>
        <w:t>全年安排因公出国（境）团组</w:t>
      </w:r>
      <w:r>
        <w:rPr>
          <w:rFonts w:hint="default" w:ascii="Times New Roman" w:hAnsi="Times New Roman" w:eastAsia="仿宋_GB2312"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次，出国（境）</w:t>
      </w:r>
      <w:r>
        <w:rPr>
          <w:rFonts w:hint="default" w:ascii="Times New Roman" w:hAnsi="Times New Roman" w:eastAsia="仿宋_GB2312"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人。</w:t>
      </w:r>
      <w:r>
        <w:rPr>
          <w:rFonts w:hint="default" w:ascii="Times New Roman" w:hAnsi="Times New Roman" w:eastAsia="仿宋_GB2312" w:cs="Times New Roman"/>
          <w:b/>
          <w:bCs/>
          <w:kern w:val="0"/>
          <w:sz w:val="32"/>
          <w:szCs w:val="32"/>
        </w:rPr>
        <w:t>因公出国（境）支出决算与202</w:t>
      </w:r>
      <w:r>
        <w:rPr>
          <w:rFonts w:hint="default"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年相比持平。</w:t>
      </w:r>
    </w:p>
    <w:p>
      <w:pPr>
        <w:pStyle w:val="8"/>
        <w:keepNext w:val="0"/>
        <w:keepLines w:val="0"/>
        <w:pageBreakBefore w:val="0"/>
        <w:widowControl w:val="0"/>
        <w:kinsoku/>
        <w:wordWrap/>
        <w:overflowPunct/>
        <w:topLinePunct w:val="0"/>
        <w:autoSpaceDE/>
        <w:autoSpaceDN/>
        <w:bidi w:val="0"/>
        <w:adjustRightInd w:val="0"/>
        <w:snapToGrid w:val="0"/>
        <w:spacing w:beforeLines="0" w:after="0" w:line="600" w:lineRule="exact"/>
        <w:ind w:firstLine="643" w:firstLineChars="200"/>
        <w:jc w:val="both"/>
        <w:textAlignment w:val="auto"/>
        <w:rPr>
          <w:rFonts w:hint="default" w:ascii="Times New Roman" w:hAnsi="Times New Roman" w:eastAsia="仿宋_GB2312" w:cs="Times New Roman"/>
          <w:b/>
          <w:bCs/>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lang w:val="en-US" w:eastAsia="zh-CN" w:bidi="ar-SA"/>
        </w:rPr>
        <w:t>2.</w:t>
      </w:r>
      <w:r>
        <w:rPr>
          <w:rFonts w:hint="default" w:ascii="Times New Roman" w:hAnsi="Times New Roman" w:eastAsia="仿宋_GB2312" w:cs="Times New Roman"/>
          <w:b/>
          <w:bCs/>
          <w:color w:val="auto"/>
          <w:kern w:val="2"/>
          <w:sz w:val="32"/>
          <w:szCs w:val="32"/>
          <w:highlight w:val="none"/>
          <w:lang w:val="en-US" w:eastAsia="zh-CN" w:bidi="ar-SA"/>
        </w:rPr>
        <w:t>公务用车购置及运行维护费支出8.46万元，完成预算89.62%。公务用车购置及运行维护费支出决算比2023年度增加减少0.62万元，下降6.83%。主要原因是</w:t>
      </w:r>
      <w:r>
        <w:rPr>
          <w:rFonts w:hint="default" w:ascii="Times New Roman" w:hAnsi="Times New Roman" w:eastAsia="仿宋_GB2312" w:cs="Times New Roman"/>
          <w:b/>
          <w:bCs/>
          <w:kern w:val="2"/>
          <w:sz w:val="32"/>
          <w:szCs w:val="32"/>
          <w:highlight w:val="none"/>
          <w:lang w:val="en-US" w:eastAsia="zh-CN" w:bidi="ar-SA"/>
        </w:rPr>
        <w:t>厉行节约，鼓励绿色出行，燃油、维修等支出有所减少。</w:t>
      </w:r>
    </w:p>
    <w:p>
      <w:pPr>
        <w:keepNext w:val="0"/>
        <w:keepLines w:val="0"/>
        <w:pageBreakBefore w:val="0"/>
        <w:kinsoku/>
        <w:wordWrap/>
        <w:overflowPunct/>
        <w:topLinePunct w:val="0"/>
        <w:autoSpaceDE/>
        <w:autoSpaceDN/>
        <w:bidi w:val="0"/>
        <w:spacing w:line="600" w:lineRule="exact"/>
        <w:ind w:firstLine="643" w:firstLineChars="200"/>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kern w:val="2"/>
          <w:sz w:val="32"/>
          <w:szCs w:val="32"/>
          <w:highlight w:val="none"/>
          <w:lang w:val="en-US" w:eastAsia="zh-CN" w:bidi="ar-SA"/>
        </w:rPr>
        <w:t>其中：公务用车购置支出</w:t>
      </w:r>
      <w:r>
        <w:rPr>
          <w:rFonts w:hint="default" w:ascii="Times New Roman" w:hAnsi="Times New Roman" w:eastAsia="仿宋_GB2312" w:cs="Times New Roman"/>
          <w:b/>
          <w:bCs/>
          <w:sz w:val="32"/>
          <w:szCs w:val="32"/>
          <w:lang w:val="en-US" w:eastAsia="zh-CN"/>
        </w:rPr>
        <w:t>0</w:t>
      </w:r>
      <w:r>
        <w:rPr>
          <w:rFonts w:hint="default" w:ascii="Times New Roman" w:hAnsi="Times New Roman" w:eastAsia="仿宋_GB2312" w:cs="Times New Roman"/>
          <w:b/>
          <w:bCs/>
          <w:color w:val="auto"/>
          <w:kern w:val="2"/>
          <w:sz w:val="32"/>
          <w:szCs w:val="32"/>
          <w:highlight w:val="none"/>
          <w:lang w:val="en-US" w:eastAsia="zh-CN" w:bidi="ar-SA"/>
        </w:rPr>
        <w:t>万元。全年按规定更新购置公务用车0辆，其中：轿车0辆、金额0万元，越野车0辆、金额0万元，载客汽车0辆、金额0万元0。截至2024年12月31日，单位共有公务用车2辆，其中：</w:t>
      </w:r>
      <w:r>
        <w:rPr>
          <w:rFonts w:hint="default" w:ascii="Times New Roman" w:hAnsi="Times New Roman" w:eastAsia="仿宋_GB2312" w:cs="Times New Roman"/>
          <w:b/>
          <w:bCs/>
          <w:color w:val="auto"/>
          <w:sz w:val="32"/>
          <w:szCs w:val="32"/>
          <w:highlight w:val="none"/>
        </w:rPr>
        <w:t>轿车</w:t>
      </w:r>
      <w:r>
        <w:rPr>
          <w:rFonts w:hint="default" w:ascii="Times New Roman" w:hAnsi="Times New Roman" w:eastAsia="仿宋_GB2312"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辆、越野车</w:t>
      </w:r>
      <w:r>
        <w:rPr>
          <w:rFonts w:hint="default"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rPr>
        <w:t>辆、载客汽车</w:t>
      </w:r>
      <w:r>
        <w:rPr>
          <w:rFonts w:hint="default" w:ascii="Times New Roman" w:hAnsi="Times New Roman" w:eastAsia="仿宋_GB2312"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辆</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其他车辆1辆，主要为辅具车</w:t>
      </w:r>
      <w:r>
        <w:rPr>
          <w:rFonts w:hint="default" w:ascii="Times New Roman" w:hAnsi="Times New Roman" w:eastAsia="仿宋_GB2312" w:cs="Times New Roman"/>
          <w:b/>
          <w:bCs/>
          <w:color w:val="auto"/>
          <w:sz w:val="32"/>
          <w:szCs w:val="32"/>
          <w:highlight w:val="none"/>
        </w:rPr>
        <w:t>。</w:t>
      </w:r>
    </w:p>
    <w:p>
      <w:pPr>
        <w:keepNext w:val="0"/>
        <w:keepLines w:val="0"/>
        <w:pageBreakBefore w:val="0"/>
        <w:kinsoku/>
        <w:wordWrap/>
        <w:overflowPunct/>
        <w:topLinePunct w:val="0"/>
        <w:autoSpaceDE/>
        <w:autoSpaceDN/>
        <w:bidi w:val="0"/>
        <w:spacing w:line="60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color w:val="auto"/>
          <w:kern w:val="2"/>
          <w:sz w:val="32"/>
          <w:szCs w:val="32"/>
          <w:highlight w:val="none"/>
          <w:lang w:val="en-US" w:eastAsia="zh-CN" w:bidi="ar-SA"/>
        </w:rPr>
        <w:t>公务用车运行维护费支出</w:t>
      </w:r>
      <w:r>
        <w:rPr>
          <w:rFonts w:hint="default" w:ascii="Times New Roman" w:hAnsi="Times New Roman" w:eastAsia="仿宋_GB2312" w:cs="Times New Roman"/>
          <w:b/>
          <w:bCs/>
          <w:sz w:val="32"/>
          <w:szCs w:val="32"/>
          <w:lang w:val="en-US" w:eastAsia="zh-CN"/>
        </w:rPr>
        <w:t>8.46</w:t>
      </w:r>
      <w:r>
        <w:rPr>
          <w:rFonts w:hint="default" w:ascii="Times New Roman" w:hAnsi="Times New Roman" w:eastAsia="仿宋_GB2312" w:cs="Times New Roman"/>
          <w:b/>
          <w:bCs/>
          <w:color w:val="auto"/>
          <w:kern w:val="2"/>
          <w:sz w:val="32"/>
          <w:szCs w:val="32"/>
          <w:highlight w:val="none"/>
          <w:lang w:val="en-US" w:eastAsia="zh-CN" w:bidi="ar-SA"/>
        </w:rPr>
        <w:t>万元。</w:t>
      </w:r>
      <w:r>
        <w:rPr>
          <w:rFonts w:hint="default" w:ascii="Times New Roman" w:hAnsi="Times New Roman" w:eastAsia="仿宋_GB2312" w:cs="Times New Roman"/>
          <w:b/>
          <w:bCs/>
          <w:color w:val="auto"/>
          <w:sz w:val="32"/>
          <w:szCs w:val="32"/>
          <w:highlight w:val="none"/>
          <w:lang w:eastAsia="zh-CN"/>
        </w:rPr>
        <w:t>主要用于</w:t>
      </w:r>
      <w:r>
        <w:rPr>
          <w:rFonts w:hint="default" w:ascii="Times New Roman" w:hAnsi="Times New Roman" w:eastAsia="仿宋_GB2312" w:cs="Times New Roman"/>
          <w:b/>
          <w:bCs/>
          <w:kern w:val="0"/>
          <w:sz w:val="32"/>
          <w:szCs w:val="32"/>
        </w:rPr>
        <w:t>量服入户调研慰问</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 w:cs="Times New Roman"/>
          <w:b/>
          <w:bCs/>
          <w:sz w:val="32"/>
          <w:szCs w:val="32"/>
        </w:rPr>
        <w:t>基层辅具调研</w:t>
      </w:r>
      <w:r>
        <w:rPr>
          <w:rFonts w:hint="default" w:ascii="Times New Roman" w:hAnsi="Times New Roman" w:eastAsia="仿宋" w:cs="Times New Roman"/>
          <w:b/>
          <w:bCs/>
          <w:sz w:val="32"/>
          <w:szCs w:val="32"/>
          <w:lang w:val="en-US" w:eastAsia="zh-CN"/>
        </w:rPr>
        <w:t>以及</w:t>
      </w:r>
      <w:r>
        <w:rPr>
          <w:rFonts w:hint="default" w:ascii="Times New Roman" w:hAnsi="Times New Roman" w:eastAsia="仿宋_GB2312" w:cs="Times New Roman"/>
          <w:b/>
          <w:bCs/>
          <w:kern w:val="0"/>
          <w:sz w:val="32"/>
          <w:szCs w:val="32"/>
          <w:lang w:val="en-US" w:eastAsia="zh-CN"/>
        </w:rPr>
        <w:t>开展日常工作</w:t>
      </w:r>
      <w:r>
        <w:rPr>
          <w:rFonts w:hint="default" w:ascii="Times New Roman" w:hAnsi="Times New Roman" w:eastAsia="仿宋_GB2312" w:cs="Times New Roman"/>
          <w:b/>
          <w:bCs/>
          <w:kern w:val="0"/>
          <w:sz w:val="32"/>
          <w:szCs w:val="32"/>
        </w:rPr>
        <w:t>等所需的公务用车</w:t>
      </w:r>
      <w:r>
        <w:rPr>
          <w:rFonts w:hint="default" w:ascii="Times New Roman" w:hAnsi="Times New Roman" w:eastAsia="仿宋_GB2312" w:cs="Times New Roman"/>
          <w:b/>
          <w:bCs/>
          <w:kern w:val="0"/>
          <w:sz w:val="32"/>
          <w:szCs w:val="32"/>
          <w:lang w:val="en-US" w:eastAsia="zh-CN"/>
        </w:rPr>
        <w:t>燃油</w:t>
      </w:r>
      <w:r>
        <w:rPr>
          <w:rFonts w:hint="default" w:ascii="Times New Roman" w:hAnsi="Times New Roman" w:eastAsia="仿宋_GB2312" w:cs="Times New Roman"/>
          <w:b/>
          <w:bCs/>
          <w:kern w:val="0"/>
          <w:sz w:val="32"/>
          <w:szCs w:val="32"/>
        </w:rPr>
        <w:t>费、维修费、过路过桥费、保险费支出。</w:t>
      </w:r>
    </w:p>
    <w:p>
      <w:pPr>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3.公务接待费支出0.58万元，完成预算100%。公务接待费支出决算比2023年度减少0.81万元，下降58.23%。主要原因是</w:t>
      </w:r>
      <w:r>
        <w:rPr>
          <w:rFonts w:hint="default" w:ascii="Times New Roman" w:hAnsi="Times New Roman" w:eastAsia="方正仿宋简体" w:cs="Times New Roman"/>
          <w:b/>
          <w:bCs/>
          <w:sz w:val="32"/>
          <w:szCs w:val="32"/>
        </w:rPr>
        <w:t>落实“过紧日子”要求，坚持厉行节约原则，尽量减少公务接待批次。</w:t>
      </w:r>
      <w:r>
        <w:rPr>
          <w:rFonts w:hint="default" w:ascii="Times New Roman" w:hAnsi="Times New Roman" w:eastAsia="仿宋_GB2312" w:cs="Times New Roman"/>
          <w:b/>
          <w:bCs/>
          <w:color w:val="auto"/>
          <w:kern w:val="2"/>
          <w:sz w:val="32"/>
          <w:szCs w:val="32"/>
          <w:highlight w:val="none"/>
          <w:lang w:val="en-US" w:eastAsia="zh-CN" w:bidi="ar-SA"/>
        </w:rPr>
        <w:t>其中：</w:t>
      </w:r>
    </w:p>
    <w:p>
      <w:pPr>
        <w:keepNext w:val="0"/>
        <w:keepLines w:val="0"/>
        <w:pageBreakBefore w:val="0"/>
        <w:kinsoku/>
        <w:wordWrap/>
        <w:overflowPunct/>
        <w:topLinePunct w:val="0"/>
        <w:autoSpaceDE/>
        <w:autoSpaceDN/>
        <w:bidi w:val="0"/>
        <w:snapToGrid w:val="0"/>
        <w:spacing w:line="600" w:lineRule="exact"/>
        <w:ind w:firstLine="643" w:firstLineChars="200"/>
        <w:textAlignment w:val="auto"/>
        <w:rPr>
          <w:rFonts w:hint="default" w:ascii="Times New Roman" w:hAnsi="Times New Roman" w:eastAsia="仿宋_GB2312" w:cs="Times New Roman"/>
          <w:b/>
          <w:bCs/>
          <w:sz w:val="32"/>
          <w:szCs w:val="32"/>
          <w:highlight w:val="none"/>
          <w:lang w:eastAsia="zh-CN"/>
        </w:rPr>
      </w:pPr>
      <w:r>
        <w:rPr>
          <w:rFonts w:hint="default" w:ascii="Times New Roman" w:hAnsi="Times New Roman" w:eastAsia="仿宋_GB2312" w:cs="Times New Roman"/>
          <w:b/>
          <w:bCs/>
          <w:color w:val="auto"/>
          <w:kern w:val="2"/>
          <w:sz w:val="32"/>
          <w:szCs w:val="32"/>
          <w:highlight w:val="none"/>
          <w:lang w:val="en-US" w:eastAsia="zh-CN" w:bidi="ar-SA"/>
        </w:rPr>
        <w:t>国内公务接待支出</w:t>
      </w:r>
      <w:r>
        <w:rPr>
          <w:rFonts w:hint="default" w:ascii="Times New Roman" w:hAnsi="Times New Roman" w:eastAsia="仿宋_GB2312" w:cs="Times New Roman"/>
          <w:b/>
          <w:bCs/>
          <w:sz w:val="32"/>
          <w:szCs w:val="32"/>
          <w:lang w:val="en-US" w:eastAsia="zh-CN"/>
        </w:rPr>
        <w:t>0.58</w:t>
      </w:r>
      <w:r>
        <w:rPr>
          <w:rFonts w:hint="default" w:ascii="Times New Roman" w:hAnsi="Times New Roman" w:eastAsia="仿宋_GB2312" w:cs="Times New Roman"/>
          <w:b/>
          <w:bCs/>
          <w:color w:val="auto"/>
          <w:kern w:val="2"/>
          <w:sz w:val="32"/>
          <w:szCs w:val="32"/>
          <w:highlight w:val="none"/>
          <w:lang w:val="en-US" w:eastAsia="zh-CN" w:bidi="ar-SA"/>
        </w:rPr>
        <w:t>万元，主要用于</w:t>
      </w:r>
      <w:r>
        <w:rPr>
          <w:rFonts w:hint="default" w:ascii="Times New Roman" w:hAnsi="Times New Roman" w:eastAsia="仿宋_GB2312" w:cs="Times New Roman"/>
          <w:b/>
          <w:bCs/>
          <w:sz w:val="32"/>
          <w:szCs w:val="32"/>
        </w:rPr>
        <w:t>执行公务、开展业务活动开支的用餐费等。</w:t>
      </w:r>
      <w:r>
        <w:rPr>
          <w:rFonts w:hint="default" w:ascii="Times New Roman" w:hAnsi="Times New Roman" w:eastAsia="仿宋_GB2312" w:cs="Times New Roman"/>
          <w:b/>
          <w:bCs/>
          <w:color w:val="auto"/>
          <w:kern w:val="2"/>
          <w:sz w:val="32"/>
          <w:szCs w:val="32"/>
          <w:highlight w:val="none"/>
          <w:lang w:val="en-US" w:eastAsia="zh-CN" w:bidi="ar-SA"/>
        </w:rPr>
        <w:t>国内公务接待</w:t>
      </w:r>
      <w:r>
        <w:rPr>
          <w:rFonts w:hint="default" w:ascii="Times New Roman" w:hAnsi="Times New Roman" w:eastAsia="仿宋_GB2312" w:cs="Times New Roman"/>
          <w:b/>
          <w:bCs/>
          <w:sz w:val="32"/>
          <w:szCs w:val="32"/>
          <w:lang w:val="en-US"/>
        </w:rPr>
        <w:t>7</w:t>
      </w:r>
      <w:r>
        <w:rPr>
          <w:rFonts w:hint="default" w:ascii="Times New Roman" w:hAnsi="Times New Roman" w:eastAsia="仿宋_GB2312" w:cs="Times New Roman"/>
          <w:b/>
          <w:bCs/>
          <w:color w:val="auto"/>
          <w:kern w:val="2"/>
          <w:sz w:val="32"/>
          <w:szCs w:val="32"/>
          <w:highlight w:val="none"/>
          <w:lang w:val="en-US" w:eastAsia="zh-CN" w:bidi="ar-SA"/>
        </w:rPr>
        <w:t>批次，</w:t>
      </w:r>
      <w:r>
        <w:rPr>
          <w:rFonts w:hint="default" w:ascii="Times New Roman" w:hAnsi="Times New Roman" w:eastAsia="仿宋_GB2312" w:cs="Times New Roman"/>
          <w:b/>
          <w:bCs/>
          <w:sz w:val="32"/>
          <w:szCs w:val="32"/>
          <w:lang w:val="en-US"/>
        </w:rPr>
        <w:t>53</w:t>
      </w:r>
      <w:r>
        <w:rPr>
          <w:rFonts w:hint="default" w:ascii="Times New Roman" w:hAnsi="Times New Roman" w:eastAsia="仿宋_GB2312" w:cs="Times New Roman"/>
          <w:b/>
          <w:bCs/>
          <w:color w:val="auto"/>
          <w:kern w:val="2"/>
          <w:sz w:val="32"/>
          <w:szCs w:val="32"/>
          <w:highlight w:val="none"/>
          <w:lang w:val="en-US" w:eastAsia="zh-CN" w:bidi="ar-SA"/>
        </w:rPr>
        <w:t>人次（不包括陪同人员），共计支出0.58万元，具体内容包括：省残联一行莅泸调研餐费0.09万元、省残联莅泸开展</w:t>
      </w:r>
      <w:r>
        <w:rPr>
          <w:rFonts w:hint="eastAsia" w:eastAsia="仿宋_GB2312" w:cs="Times New Roman"/>
          <w:b/>
          <w:bCs/>
          <w:color w:val="auto"/>
          <w:kern w:val="2"/>
          <w:sz w:val="32"/>
          <w:szCs w:val="32"/>
          <w:highlight w:val="none"/>
          <w:lang w:val="en-US" w:eastAsia="zh-CN" w:bidi="ar-SA"/>
        </w:rPr>
        <w:t>中国残联</w:t>
      </w:r>
      <w:r>
        <w:rPr>
          <w:rFonts w:hint="default" w:ascii="Times New Roman" w:hAnsi="Times New Roman" w:eastAsia="仿宋_GB2312" w:cs="Times New Roman"/>
          <w:b/>
          <w:bCs/>
          <w:color w:val="auto"/>
          <w:kern w:val="2"/>
          <w:sz w:val="32"/>
          <w:szCs w:val="32"/>
          <w:highlight w:val="none"/>
          <w:lang w:val="en-US" w:eastAsia="zh-CN" w:bidi="ar-SA"/>
        </w:rPr>
        <w:t>康复专业技术人员规范化培训督导工作餐费0.836万元；绵阳市三台县莅泸学习调研餐费0.098万元、阿坝州残联赴泸州广播电视台交流学习手语新闻餐费0.055万元、市领导会见巴黎残奥会泸州籍参赛运动员餐费0.09万元、丽水市残联莅泸开展东西部协作交流及“量服”调研餐费0.12万元等。</w:t>
      </w:r>
    </w:p>
    <w:p>
      <w:pPr>
        <w:keepNext w:val="0"/>
        <w:keepLines w:val="0"/>
        <w:pageBreakBefore w:val="0"/>
        <w:widowControl/>
        <w:suppressLineNumbers w:val="0"/>
        <w:kinsoku/>
        <w:wordWrap/>
        <w:overflowPunct/>
        <w:topLinePunct w:val="0"/>
        <w:autoSpaceDE/>
        <w:autoSpaceDN/>
        <w:bidi w:val="0"/>
        <w:spacing w:line="600" w:lineRule="exact"/>
        <w:ind w:firstLine="643" w:firstLineChars="200"/>
        <w:jc w:val="left"/>
        <w:textAlignment w:val="auto"/>
        <w:rPr>
          <w:rFonts w:hint="default" w:ascii="Times New Roman" w:hAnsi="Times New Roman" w:eastAsia="黑体" w:cs="Times New Roman"/>
          <w:b/>
          <w:bCs/>
          <w:color w:val="auto"/>
          <w:sz w:val="32"/>
          <w:szCs w:val="32"/>
          <w:highlight w:val="none"/>
        </w:rPr>
      </w:pPr>
      <w:bookmarkStart w:id="44" w:name="_Toc15377218"/>
      <w:bookmarkStart w:id="45" w:name="_Toc15396610"/>
      <w:r>
        <w:rPr>
          <w:rFonts w:hint="default" w:ascii="Times New Roman" w:hAnsi="Times New Roman" w:eastAsia="仿宋" w:cs="Times New Roman"/>
          <w:b/>
          <w:bCs/>
          <w:color w:val="auto"/>
          <w:sz w:val="32"/>
          <w:szCs w:val="32"/>
          <w:highlight w:val="none"/>
        </w:rPr>
        <w:t>外事接待支出</w:t>
      </w:r>
      <w:r>
        <w:rPr>
          <w:rFonts w:hint="default" w:ascii="Times New Roman" w:hAnsi="Times New Roman" w:eastAsia="仿宋"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万元，</w:t>
      </w:r>
      <w:r>
        <w:rPr>
          <w:rFonts w:hint="default" w:ascii="Times New Roman" w:hAnsi="Times New Roman" w:eastAsia="仿宋_GB2312" w:cs="Times New Roman"/>
          <w:b/>
          <w:bCs/>
          <w:color w:val="000000"/>
          <w:kern w:val="0"/>
          <w:sz w:val="31"/>
          <w:szCs w:val="31"/>
          <w:highlight w:val="none"/>
          <w:lang w:val="en-US" w:eastAsia="zh-CN" w:bidi="ar"/>
        </w:rPr>
        <w:t xml:space="preserve">外事接待支出 </w:t>
      </w:r>
      <w:r>
        <w:rPr>
          <w:rFonts w:hint="default" w:ascii="Times New Roman" w:hAnsi="Times New Roman" w:eastAsia="宋体" w:cs="Times New Roman"/>
          <w:b/>
          <w:bCs/>
          <w:color w:val="000000"/>
          <w:kern w:val="0"/>
          <w:sz w:val="31"/>
          <w:szCs w:val="31"/>
          <w:highlight w:val="none"/>
          <w:lang w:val="en-US" w:eastAsia="zh-CN" w:bidi="ar"/>
        </w:rPr>
        <w:t xml:space="preserve">0 </w:t>
      </w:r>
      <w:r>
        <w:rPr>
          <w:rFonts w:hint="default" w:ascii="Times New Roman" w:hAnsi="Times New Roman" w:eastAsia="仿宋_GB2312" w:cs="Times New Roman"/>
          <w:b/>
          <w:bCs/>
          <w:color w:val="000000"/>
          <w:kern w:val="0"/>
          <w:sz w:val="31"/>
          <w:szCs w:val="31"/>
          <w:highlight w:val="none"/>
          <w:lang w:val="en-US" w:eastAsia="zh-CN" w:bidi="ar"/>
        </w:rPr>
        <w:t>万元，较上年无变化。</w:t>
      </w:r>
    </w:p>
    <w:p>
      <w:pPr>
        <w:keepNext w:val="0"/>
        <w:keepLines w:val="0"/>
        <w:pageBreakBefore w:val="0"/>
        <w:widowControl w:val="0"/>
        <w:kinsoku/>
        <w:wordWrap/>
        <w:overflowPunct/>
        <w:topLinePunct w:val="0"/>
        <w:autoSpaceDE/>
        <w:autoSpaceDN/>
        <w:bidi w:val="0"/>
        <w:adjustRightInd/>
        <w:spacing w:line="600" w:lineRule="exact"/>
        <w:ind w:left="0" w:firstLine="640"/>
        <w:textAlignment w:val="auto"/>
        <w:outlineLvl w:val="1"/>
        <w:rPr>
          <w:rStyle w:val="33"/>
          <w:rFonts w:hint="default" w:ascii="Times New Roman" w:hAnsi="Times New Roman" w:eastAsia="黑体" w:cs="Times New Roman"/>
          <w:b/>
          <w:bCs/>
          <w:color w:val="auto"/>
          <w:highlight w:val="none"/>
        </w:rPr>
      </w:pPr>
      <w:r>
        <w:rPr>
          <w:rFonts w:hint="default" w:ascii="Times New Roman" w:hAnsi="Times New Roman" w:eastAsia="黑体" w:cs="Times New Roman"/>
          <w:b/>
          <w:bCs/>
          <w:color w:val="auto"/>
          <w:sz w:val="32"/>
          <w:szCs w:val="32"/>
          <w:highlight w:val="none"/>
        </w:rPr>
        <w:t>八、</w:t>
      </w:r>
      <w:r>
        <w:rPr>
          <w:rStyle w:val="33"/>
          <w:rFonts w:hint="default" w:ascii="Times New Roman" w:hAnsi="Times New Roman" w:eastAsia="黑体" w:cs="Times New Roman"/>
          <w:b/>
          <w:bCs/>
          <w:color w:val="auto"/>
          <w:highlight w:val="none"/>
        </w:rPr>
        <w:t>政府性基金预算支出决算情况说明</w:t>
      </w:r>
      <w:bookmarkEnd w:id="44"/>
      <w:bookmarkEnd w:id="45"/>
    </w:p>
    <w:p>
      <w:pPr>
        <w:keepNext w:val="0"/>
        <w:keepLines w:val="0"/>
        <w:pageBreakBefore w:val="0"/>
        <w:widowControl w:val="0"/>
        <w:kinsoku/>
        <w:wordWrap/>
        <w:overflowPunct/>
        <w:topLinePunct w:val="0"/>
        <w:autoSpaceDE/>
        <w:autoSpaceDN/>
        <w:bidi w:val="0"/>
        <w:adjustRightInd/>
        <w:spacing w:line="600" w:lineRule="exact"/>
        <w:ind w:left="0" w:firstLine="640"/>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2024年度政府性基金预算财政拨款支出</w:t>
      </w:r>
      <w:r>
        <w:rPr>
          <w:rFonts w:hint="default" w:ascii="Times New Roman" w:hAnsi="Times New Roman" w:eastAsia="仿宋_GB2312" w:cs="Times New Roman"/>
          <w:b/>
          <w:bCs/>
          <w:sz w:val="32"/>
          <w:szCs w:val="32"/>
          <w:lang w:val="en-US"/>
        </w:rPr>
        <w:t>1161.15</w:t>
      </w:r>
      <w:r>
        <w:rPr>
          <w:rFonts w:hint="default" w:ascii="Times New Roman" w:hAnsi="Times New Roman" w:eastAsia="仿宋_GB2312" w:cs="Times New Roman"/>
          <w:b/>
          <w:bCs/>
          <w:color w:val="auto"/>
          <w:kern w:val="2"/>
          <w:sz w:val="32"/>
          <w:szCs w:val="32"/>
          <w:highlight w:val="none"/>
          <w:lang w:val="en-US" w:eastAsia="zh-CN" w:bidi="ar-SA"/>
        </w:rPr>
        <w:t>万元，占本年支出合计的</w:t>
      </w:r>
      <w:r>
        <w:rPr>
          <w:rFonts w:hint="default" w:ascii="Times New Roman" w:hAnsi="Times New Roman" w:eastAsia="仿宋_GB2312" w:cs="Times New Roman"/>
          <w:b/>
          <w:bCs/>
          <w:sz w:val="32"/>
          <w:szCs w:val="32"/>
          <w:lang w:val="en-US" w:eastAsia="zh-CN"/>
        </w:rPr>
        <w:t>25.77</w:t>
      </w:r>
      <w:r>
        <w:rPr>
          <w:rFonts w:hint="default" w:ascii="Times New Roman" w:hAnsi="Times New Roman" w:eastAsia="仿宋_GB2312" w:cs="Times New Roman"/>
          <w:b/>
          <w:bCs/>
          <w:color w:val="auto"/>
          <w:kern w:val="2"/>
          <w:sz w:val="32"/>
          <w:szCs w:val="32"/>
          <w:highlight w:val="none"/>
          <w:lang w:val="en-US" w:eastAsia="zh-CN" w:bidi="ar-SA"/>
        </w:rPr>
        <w:t>%。与2023年度相比，政府性基金预算财政拨款支出增加1024.44万元，增长749.35%。主要变动原因是增加2024年省级财政残疾人事业发展补助资金，青年残疾人运动员训练经费157.5万元。</w:t>
      </w:r>
    </w:p>
    <w:p>
      <w:pPr>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3" w:firstLineChars="200"/>
        <w:textAlignment w:val="auto"/>
        <w:outlineLvl w:val="1"/>
        <w:rPr>
          <w:rStyle w:val="33"/>
          <w:rFonts w:hint="default" w:ascii="Times New Roman" w:hAnsi="Times New Roman" w:eastAsia="黑体" w:cs="Times New Roman"/>
          <w:b/>
          <w:bCs/>
          <w:color w:val="auto"/>
          <w:highlight w:val="none"/>
        </w:rPr>
      </w:pPr>
      <w:bookmarkStart w:id="46" w:name="_Toc15396611"/>
      <w:bookmarkStart w:id="47" w:name="_Toc15377219"/>
      <w:r>
        <w:rPr>
          <w:rStyle w:val="33"/>
          <w:rFonts w:hint="default" w:ascii="Times New Roman" w:hAnsi="Times New Roman" w:eastAsia="黑体" w:cs="Times New Roman"/>
          <w:b/>
          <w:bCs/>
          <w:color w:val="auto"/>
          <w:highlight w:val="none"/>
          <w:lang w:eastAsia="zh-CN"/>
        </w:rPr>
        <w:t>九、</w:t>
      </w:r>
      <w:r>
        <w:rPr>
          <w:rStyle w:val="33"/>
          <w:rFonts w:hint="default" w:ascii="Times New Roman" w:hAnsi="Times New Roman" w:eastAsia="黑体" w:cs="Times New Roman"/>
          <w:b/>
          <w:bCs/>
          <w:color w:val="auto"/>
          <w:highlight w:val="none"/>
        </w:rPr>
        <w:t>国有资本经营预算支出决算情况说明</w:t>
      </w:r>
      <w:bookmarkEnd w:id="46"/>
      <w:bookmarkEnd w:id="47"/>
    </w:p>
    <w:p>
      <w:pPr>
        <w:keepNext w:val="0"/>
        <w:keepLines w:val="0"/>
        <w:pageBreakBefore w:val="0"/>
        <w:widowControl w:val="0"/>
        <w:kinsoku/>
        <w:wordWrap/>
        <w:overflowPunct/>
        <w:topLinePunct w:val="0"/>
        <w:autoSpaceDE/>
        <w:autoSpaceDN/>
        <w:bidi w:val="0"/>
        <w:adjustRightInd/>
        <w:spacing w:line="600" w:lineRule="exact"/>
        <w:ind w:left="0" w:firstLine="640"/>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kern w:val="2"/>
          <w:sz w:val="32"/>
          <w:szCs w:val="32"/>
          <w:highlight w:val="none"/>
          <w:lang w:val="en-US" w:eastAsia="zh-CN" w:bidi="ar-SA"/>
        </w:rPr>
        <w:t>2024年度国有资本经营预算财政拨款支出</w:t>
      </w:r>
      <w:r>
        <w:rPr>
          <w:rFonts w:hint="default" w:ascii="Times New Roman" w:hAnsi="Times New Roman" w:eastAsia="仿宋_GB2312" w:cs="Times New Roman"/>
          <w:b/>
          <w:bCs/>
          <w:sz w:val="32"/>
          <w:szCs w:val="32"/>
          <w:lang w:val="en-US" w:eastAsia="zh-CN"/>
        </w:rPr>
        <w:t>0</w:t>
      </w:r>
      <w:r>
        <w:rPr>
          <w:rFonts w:hint="default" w:ascii="Times New Roman" w:hAnsi="Times New Roman" w:eastAsia="仿宋_GB2312" w:cs="Times New Roman"/>
          <w:b/>
          <w:bCs/>
          <w:color w:val="auto"/>
          <w:kern w:val="2"/>
          <w:sz w:val="32"/>
          <w:szCs w:val="32"/>
          <w:highlight w:val="none"/>
          <w:lang w:val="en-US" w:eastAsia="zh-CN" w:bidi="ar-SA"/>
        </w:rPr>
        <w:t>万元，较上年无变化。</w:t>
      </w:r>
    </w:p>
    <w:p>
      <w:pPr>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3" w:firstLineChars="200"/>
        <w:textAlignment w:val="auto"/>
        <w:outlineLvl w:val="1"/>
        <w:rPr>
          <w:rStyle w:val="33"/>
          <w:rFonts w:hint="default" w:ascii="Times New Roman" w:hAnsi="Times New Roman" w:eastAsia="黑体" w:cs="Times New Roman"/>
          <w:b/>
          <w:bCs/>
          <w:color w:val="auto"/>
          <w:highlight w:val="none"/>
        </w:rPr>
      </w:pPr>
      <w:bookmarkStart w:id="48" w:name="_Toc15377221"/>
      <w:bookmarkStart w:id="49" w:name="_Toc15396612"/>
      <w:r>
        <w:rPr>
          <w:rStyle w:val="33"/>
          <w:rFonts w:hint="default" w:ascii="Times New Roman" w:hAnsi="Times New Roman" w:eastAsia="黑体" w:cs="Times New Roman"/>
          <w:b/>
          <w:bCs/>
          <w:color w:val="auto"/>
          <w:highlight w:val="none"/>
          <w:lang w:eastAsia="zh-CN"/>
        </w:rPr>
        <w:t>十、</w:t>
      </w:r>
      <w:r>
        <w:rPr>
          <w:rStyle w:val="33"/>
          <w:rFonts w:hint="default" w:ascii="Times New Roman" w:hAnsi="Times New Roman" w:eastAsia="黑体" w:cs="Times New Roman"/>
          <w:b/>
          <w:bCs/>
          <w:color w:val="auto"/>
          <w:highlight w:val="none"/>
        </w:rPr>
        <w:t>其他重要事项的情况说明</w:t>
      </w:r>
      <w:bookmarkEnd w:id="48"/>
      <w:bookmarkEnd w:id="49"/>
    </w:p>
    <w:p>
      <w:pPr>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outlineLvl w:val="2"/>
        <w:rPr>
          <w:rFonts w:hint="default" w:ascii="Times New Roman" w:hAnsi="Times New Roman" w:eastAsia="楷体_GB2312" w:cs="Times New Roman"/>
          <w:b/>
          <w:bCs/>
          <w:color w:val="auto"/>
          <w:sz w:val="32"/>
          <w:szCs w:val="32"/>
          <w:highlight w:val="none"/>
        </w:rPr>
      </w:pPr>
      <w:bookmarkStart w:id="50" w:name="_Toc15377222"/>
      <w:r>
        <w:rPr>
          <w:rFonts w:hint="default" w:ascii="Times New Roman" w:hAnsi="Times New Roman" w:eastAsia="楷体_GB2312" w:cs="Times New Roman"/>
          <w:b/>
          <w:bCs/>
          <w:color w:val="auto"/>
          <w:sz w:val="32"/>
          <w:szCs w:val="32"/>
          <w:highlight w:val="none"/>
        </w:rPr>
        <w:t>（一）机关运行经费支出情况</w:t>
      </w:r>
      <w:bookmarkEnd w:id="50"/>
    </w:p>
    <w:p>
      <w:pPr>
        <w:keepNext w:val="0"/>
        <w:keepLines w:val="0"/>
        <w:pageBreakBefore w:val="0"/>
        <w:widowControl w:val="0"/>
        <w:kinsoku/>
        <w:wordWrap/>
        <w:overflowPunct/>
        <w:topLinePunct w:val="0"/>
        <w:autoSpaceDE/>
        <w:autoSpaceDN/>
        <w:bidi w:val="0"/>
        <w:adjustRightInd/>
        <w:snapToGrid w:val="0"/>
        <w:spacing w:line="600" w:lineRule="exact"/>
        <w:ind w:left="0" w:firstLine="643" w:firstLineChars="200"/>
        <w:jc w:val="both"/>
        <w:textAlignment w:val="auto"/>
        <w:rPr>
          <w:rFonts w:hint="default" w:ascii="Times New Roman" w:hAnsi="Times New Roman" w:eastAsia="仿宋_GB2312" w:cs="Times New Roman"/>
          <w:b/>
          <w:bCs/>
          <w:dstrike w:val="0"/>
          <w:sz w:val="32"/>
          <w:szCs w:val="32"/>
          <w:highlight w:val="none"/>
          <w:lang w:eastAsia="zh-CN"/>
        </w:rPr>
      </w:pPr>
      <w:r>
        <w:rPr>
          <w:rFonts w:hint="default" w:ascii="Times New Roman" w:hAnsi="Times New Roman" w:eastAsia="仿宋_GB2312" w:cs="Times New Roman"/>
          <w:b/>
          <w:bCs/>
          <w:color w:val="auto"/>
          <w:kern w:val="2"/>
          <w:sz w:val="32"/>
          <w:szCs w:val="32"/>
          <w:highlight w:val="none"/>
          <w:lang w:val="en-US" w:eastAsia="zh-CN" w:bidi="ar-SA"/>
        </w:rPr>
        <w:t>2024年度，</w:t>
      </w:r>
      <w:r>
        <w:rPr>
          <w:rFonts w:hint="default" w:ascii="Times New Roman" w:hAnsi="Times New Roman" w:eastAsia="仿宋_GB2312" w:cs="Times New Roman"/>
          <w:b/>
          <w:bCs/>
          <w:color w:val="auto"/>
          <w:sz w:val="32"/>
          <w:szCs w:val="32"/>
          <w:highlight w:val="none"/>
          <w:lang w:val="en-US" w:eastAsia="zh-CN"/>
        </w:rPr>
        <w:t>市残联</w:t>
      </w:r>
      <w:r>
        <w:rPr>
          <w:rFonts w:hint="eastAsia" w:eastAsia="仿宋_GB2312" w:cs="Times New Roman"/>
          <w:b/>
          <w:bCs/>
          <w:color w:val="auto"/>
          <w:sz w:val="32"/>
          <w:szCs w:val="32"/>
          <w:highlight w:val="none"/>
          <w:lang w:val="en-US" w:eastAsia="zh-CN"/>
        </w:rPr>
        <w:t>（</w:t>
      </w:r>
      <w:r>
        <w:rPr>
          <w:rFonts w:hint="default" w:ascii="Times New Roman" w:hAnsi="Times New Roman" w:eastAsia="仿宋_GB2312" w:cs="Times New Roman"/>
          <w:b/>
          <w:bCs/>
          <w:sz w:val="32"/>
          <w:szCs w:val="32"/>
          <w:lang w:val="en-US" w:eastAsia="zh-CN"/>
        </w:rPr>
        <w:t>部门）</w:t>
      </w:r>
      <w:r>
        <w:rPr>
          <w:rFonts w:hint="default" w:ascii="Times New Roman" w:hAnsi="Times New Roman" w:eastAsia="仿宋_GB2312" w:cs="Times New Roman"/>
          <w:b/>
          <w:bCs/>
          <w:color w:val="auto"/>
          <w:kern w:val="2"/>
          <w:sz w:val="32"/>
          <w:szCs w:val="32"/>
          <w:highlight w:val="none"/>
          <w:lang w:val="en-US" w:eastAsia="zh-CN" w:bidi="ar-SA"/>
        </w:rPr>
        <w:t>机关运行经费支出</w:t>
      </w:r>
      <w:r>
        <w:rPr>
          <w:rFonts w:hint="default" w:ascii="Times New Roman" w:hAnsi="Times New Roman" w:eastAsia="仿宋_GB2312" w:cs="Times New Roman"/>
          <w:b/>
          <w:bCs/>
          <w:sz w:val="32"/>
          <w:szCs w:val="32"/>
          <w:lang w:val="en-US" w:eastAsia="zh-CN"/>
        </w:rPr>
        <w:t>84.35</w:t>
      </w:r>
      <w:r>
        <w:rPr>
          <w:rFonts w:hint="default" w:ascii="Times New Roman" w:hAnsi="Times New Roman" w:eastAsia="仿宋_GB2312" w:cs="Times New Roman"/>
          <w:b/>
          <w:bCs/>
          <w:color w:val="auto"/>
          <w:kern w:val="2"/>
          <w:sz w:val="32"/>
          <w:szCs w:val="32"/>
          <w:highlight w:val="none"/>
          <w:lang w:val="en-US" w:eastAsia="zh-CN" w:bidi="ar-SA"/>
        </w:rPr>
        <w:t>万元，比2023年度</w:t>
      </w:r>
      <w:r>
        <w:rPr>
          <w:rFonts w:hint="eastAsia" w:eastAsia="仿宋_GB2312" w:cs="Times New Roman"/>
          <w:b/>
          <w:bCs/>
          <w:color w:val="auto"/>
          <w:kern w:val="2"/>
          <w:sz w:val="32"/>
          <w:szCs w:val="32"/>
          <w:highlight w:val="none"/>
          <w:lang w:val="en-US" w:eastAsia="zh-CN" w:bidi="ar-SA"/>
        </w:rPr>
        <w:t>增加</w:t>
      </w:r>
      <w:r>
        <w:rPr>
          <w:rFonts w:hint="default" w:ascii="Times New Roman" w:hAnsi="Times New Roman" w:eastAsia="仿宋_GB2312" w:cs="Times New Roman"/>
          <w:b/>
          <w:bCs/>
          <w:dstrike w:val="0"/>
          <w:sz w:val="32"/>
          <w:szCs w:val="32"/>
          <w:highlight w:val="none"/>
          <w:lang w:eastAsia="zh-CN"/>
        </w:rPr>
        <w:t>5.17万元，增长6.53%。</w:t>
      </w:r>
      <w:r>
        <w:rPr>
          <w:rFonts w:hint="default" w:ascii="Times New Roman" w:hAnsi="Times New Roman" w:eastAsia="仿宋_GB2312" w:cs="Times New Roman"/>
          <w:b/>
          <w:bCs/>
          <w:color w:val="auto"/>
          <w:sz w:val="32"/>
          <w:szCs w:val="32"/>
          <w:highlight w:val="none"/>
        </w:rPr>
        <w:t>主要原因是</w:t>
      </w:r>
      <w:r>
        <w:rPr>
          <w:rFonts w:hint="default" w:ascii="Times New Roman" w:hAnsi="Times New Roman" w:eastAsia="仿宋_GB2312" w:cs="Times New Roman"/>
          <w:b/>
          <w:bCs/>
          <w:color w:val="auto"/>
          <w:sz w:val="32"/>
          <w:szCs w:val="32"/>
          <w:highlight w:val="none"/>
          <w:lang w:eastAsia="zh-CN"/>
        </w:rPr>
        <w:t>新购置彩色打印机、档案密集架等固定资产。</w:t>
      </w:r>
      <w:r>
        <w:rPr>
          <w:rFonts w:hint="default" w:ascii="Times New Roman" w:hAnsi="Times New Roman" w:eastAsia="仿宋_GB2312" w:cs="Times New Roman"/>
          <w:b/>
          <w:bCs/>
          <w:dstrike w:val="0"/>
          <w:sz w:val="32"/>
          <w:szCs w:val="32"/>
          <w:highlight w:val="none"/>
          <w:lang w:eastAsia="zh-CN"/>
        </w:rPr>
        <w:t>市残联下属事业单位无机关运行经费支出。</w:t>
      </w:r>
    </w:p>
    <w:p>
      <w:pPr>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outlineLvl w:val="2"/>
        <w:rPr>
          <w:rFonts w:hint="default" w:ascii="Times New Roman" w:hAnsi="Times New Roman" w:eastAsia="楷体_GB2312" w:cs="Times New Roman"/>
          <w:b/>
          <w:bCs/>
          <w:color w:val="auto"/>
          <w:sz w:val="32"/>
          <w:szCs w:val="32"/>
          <w:highlight w:val="none"/>
        </w:rPr>
      </w:pPr>
      <w:bookmarkStart w:id="51" w:name="_Toc15377223"/>
      <w:r>
        <w:rPr>
          <w:rFonts w:hint="default" w:ascii="Times New Roman" w:hAnsi="Times New Roman" w:eastAsia="楷体_GB2312" w:cs="Times New Roman"/>
          <w:b/>
          <w:bCs/>
          <w:color w:val="auto"/>
          <w:sz w:val="32"/>
          <w:szCs w:val="32"/>
          <w:highlight w:val="none"/>
        </w:rPr>
        <w:t>（二）政府采购支出情况</w:t>
      </w:r>
      <w:bookmarkEnd w:id="51"/>
    </w:p>
    <w:p>
      <w:pPr>
        <w:keepNext w:val="0"/>
        <w:keepLines w:val="0"/>
        <w:pageBreakBefore w:val="0"/>
        <w:widowControl w:val="0"/>
        <w:kinsoku/>
        <w:wordWrap/>
        <w:overflowPunct/>
        <w:topLinePunct w:val="0"/>
        <w:autoSpaceDE/>
        <w:autoSpaceDN/>
        <w:bidi w:val="0"/>
        <w:adjustRightInd/>
        <w:spacing w:line="600" w:lineRule="exact"/>
        <w:ind w:left="0" w:firstLine="640"/>
        <w:textAlignment w:val="auto"/>
        <w:rPr>
          <w:rFonts w:hint="default" w:ascii="Times New Roman" w:hAnsi="Times New Roman" w:cs="Times New Roman"/>
          <w:b/>
          <w:bCs/>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2024年度，</w:t>
      </w:r>
      <w:r>
        <w:rPr>
          <w:rFonts w:hint="default" w:ascii="Times New Roman" w:hAnsi="Times New Roman" w:eastAsia="仿宋_GB2312" w:cs="Times New Roman"/>
          <w:b/>
          <w:bCs/>
          <w:color w:val="auto"/>
          <w:sz w:val="32"/>
          <w:szCs w:val="32"/>
          <w:highlight w:val="none"/>
          <w:lang w:val="en-US" w:eastAsia="zh-CN"/>
        </w:rPr>
        <w:t>市残联</w:t>
      </w:r>
      <w:r>
        <w:rPr>
          <w:rFonts w:hint="eastAsia" w:eastAsia="仿宋_GB2312" w:cs="Times New Roman"/>
          <w:b/>
          <w:bCs/>
          <w:color w:val="auto"/>
          <w:sz w:val="32"/>
          <w:szCs w:val="32"/>
          <w:highlight w:val="none"/>
          <w:lang w:val="en-US" w:eastAsia="zh-CN"/>
        </w:rPr>
        <w:t>（</w:t>
      </w:r>
      <w:r>
        <w:rPr>
          <w:rFonts w:hint="default" w:ascii="Times New Roman" w:hAnsi="Times New Roman" w:eastAsia="仿宋_GB2312" w:cs="Times New Roman"/>
          <w:b/>
          <w:bCs/>
          <w:sz w:val="32"/>
          <w:szCs w:val="32"/>
          <w:lang w:val="en-US" w:eastAsia="zh-CN"/>
        </w:rPr>
        <w:t>部门）</w:t>
      </w:r>
      <w:r>
        <w:rPr>
          <w:rFonts w:hint="default" w:ascii="Times New Roman" w:hAnsi="Times New Roman" w:eastAsia="仿宋_GB2312" w:cs="Times New Roman"/>
          <w:b/>
          <w:bCs/>
          <w:color w:val="auto"/>
          <w:kern w:val="2"/>
          <w:sz w:val="32"/>
          <w:szCs w:val="32"/>
          <w:highlight w:val="none"/>
          <w:lang w:val="en-US" w:eastAsia="zh-CN" w:bidi="ar-SA"/>
        </w:rPr>
        <w:t>政府采购支出总额</w:t>
      </w:r>
      <w:r>
        <w:rPr>
          <w:rFonts w:hint="default" w:ascii="Times New Roman" w:hAnsi="Times New Roman" w:eastAsia="仿宋_GB2312" w:cs="Times New Roman"/>
          <w:b/>
          <w:bCs/>
          <w:sz w:val="32"/>
          <w:szCs w:val="32"/>
          <w:lang w:val="en-US"/>
        </w:rPr>
        <w:t>54</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rPr>
        <w:t>35</w:t>
      </w:r>
      <w:r>
        <w:rPr>
          <w:rFonts w:hint="default" w:ascii="Times New Roman" w:hAnsi="Times New Roman" w:eastAsia="仿宋_GB2312" w:cs="Times New Roman"/>
          <w:b/>
          <w:bCs/>
          <w:color w:val="auto"/>
          <w:kern w:val="2"/>
          <w:sz w:val="32"/>
          <w:szCs w:val="32"/>
          <w:highlight w:val="none"/>
          <w:lang w:val="en-US" w:eastAsia="zh-CN" w:bidi="ar-SA"/>
        </w:rPr>
        <w:t>万元，其中：政府采购货物支出</w:t>
      </w:r>
      <w:r>
        <w:rPr>
          <w:rFonts w:hint="default" w:ascii="Times New Roman" w:hAnsi="Times New Roman" w:eastAsia="仿宋_GB2312" w:cs="Times New Roman"/>
          <w:b/>
          <w:bCs/>
          <w:sz w:val="32"/>
          <w:szCs w:val="32"/>
          <w:lang w:val="en-US" w:eastAsia="zh-CN"/>
        </w:rPr>
        <w:t>0.96</w:t>
      </w:r>
      <w:r>
        <w:rPr>
          <w:rFonts w:hint="default" w:ascii="Times New Roman" w:hAnsi="Times New Roman" w:eastAsia="仿宋_GB2312" w:cs="Times New Roman"/>
          <w:b/>
          <w:bCs/>
          <w:color w:val="auto"/>
          <w:kern w:val="2"/>
          <w:sz w:val="32"/>
          <w:szCs w:val="32"/>
          <w:highlight w:val="none"/>
          <w:lang w:val="en-US" w:eastAsia="zh-CN" w:bidi="ar-SA"/>
        </w:rPr>
        <w:t>万元、政府采购工程支出</w:t>
      </w:r>
      <w:r>
        <w:rPr>
          <w:rFonts w:hint="default" w:ascii="Times New Roman" w:hAnsi="Times New Roman" w:eastAsia="仿宋_GB2312" w:cs="Times New Roman"/>
          <w:b/>
          <w:bCs/>
          <w:sz w:val="32"/>
          <w:szCs w:val="32"/>
          <w:lang w:val="en-US" w:eastAsia="zh-CN"/>
        </w:rPr>
        <w:t>0</w:t>
      </w:r>
      <w:r>
        <w:rPr>
          <w:rFonts w:hint="default" w:ascii="Times New Roman" w:hAnsi="Times New Roman" w:eastAsia="仿宋_GB2312" w:cs="Times New Roman"/>
          <w:b/>
          <w:bCs/>
          <w:color w:val="auto"/>
          <w:kern w:val="2"/>
          <w:sz w:val="32"/>
          <w:szCs w:val="32"/>
          <w:highlight w:val="none"/>
          <w:lang w:val="en-US" w:eastAsia="zh-CN" w:bidi="ar-SA"/>
        </w:rPr>
        <w:t>万元、政府采购服务支出</w:t>
      </w:r>
      <w:r>
        <w:rPr>
          <w:rFonts w:hint="default" w:ascii="Times New Roman" w:hAnsi="Times New Roman" w:eastAsia="仿宋_GB2312" w:cs="Times New Roman"/>
          <w:b/>
          <w:bCs/>
          <w:sz w:val="32"/>
          <w:szCs w:val="32"/>
          <w:lang w:val="en-US"/>
        </w:rPr>
        <w:t>53</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rPr>
        <w:t>39</w:t>
      </w:r>
      <w:r>
        <w:rPr>
          <w:rFonts w:hint="default" w:ascii="Times New Roman" w:hAnsi="Times New Roman" w:eastAsia="仿宋_GB2312" w:cs="Times New Roman"/>
          <w:b/>
          <w:bCs/>
          <w:color w:val="auto"/>
          <w:kern w:val="2"/>
          <w:sz w:val="32"/>
          <w:szCs w:val="32"/>
          <w:highlight w:val="none"/>
          <w:lang w:val="en-US" w:eastAsia="zh-CN" w:bidi="ar-SA"/>
        </w:rPr>
        <w:t>万元。主要用于</w:t>
      </w:r>
      <w:r>
        <w:rPr>
          <w:rFonts w:hint="default" w:ascii="Times New Roman" w:hAnsi="Times New Roman" w:eastAsia="仿宋_GB2312" w:cs="Times New Roman"/>
          <w:b/>
          <w:bCs/>
          <w:color w:val="auto"/>
          <w:sz w:val="32"/>
          <w:szCs w:val="32"/>
          <w:highlight w:val="none"/>
          <w:lang w:eastAsia="zh-CN"/>
        </w:rPr>
        <w:t>采购彩色打印机、特种专业设备用车维修和保养服务</w:t>
      </w:r>
      <w:r>
        <w:rPr>
          <w:rFonts w:hint="default" w:ascii="Times New Roman" w:hAnsi="Times New Roman" w:eastAsia="仿宋_GB2312" w:cs="Times New Roman"/>
          <w:b/>
          <w:bCs/>
          <w:color w:val="auto"/>
          <w:sz w:val="32"/>
          <w:szCs w:val="32"/>
          <w:highlight w:val="none"/>
          <w:lang w:val="en-US" w:eastAsia="zh-CN"/>
        </w:rPr>
        <w:t>以及残疾人职业技能和实用技术培训</w:t>
      </w:r>
      <w:r>
        <w:rPr>
          <w:rFonts w:hint="default" w:ascii="Times New Roman" w:hAnsi="Times New Roman" w:eastAsia="仿宋_GB2312" w:cs="Times New Roman"/>
          <w:b/>
          <w:bCs/>
          <w:color w:val="auto"/>
          <w:kern w:val="2"/>
          <w:sz w:val="32"/>
          <w:szCs w:val="32"/>
          <w:highlight w:val="none"/>
          <w:lang w:val="en-US" w:eastAsia="zh-CN" w:bidi="ar-SA"/>
        </w:rPr>
        <w:t>。授予中小企业合同金额</w:t>
      </w:r>
      <w:r>
        <w:rPr>
          <w:rFonts w:hint="default" w:ascii="Times New Roman" w:hAnsi="Times New Roman" w:eastAsia="仿宋_GB2312" w:cs="Times New Roman"/>
          <w:b/>
          <w:bCs/>
          <w:sz w:val="32"/>
          <w:szCs w:val="32"/>
          <w:lang w:val="en-US"/>
        </w:rPr>
        <w:t>50</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rPr>
        <w:t>9</w:t>
      </w: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color w:val="auto"/>
          <w:kern w:val="2"/>
          <w:sz w:val="32"/>
          <w:szCs w:val="32"/>
          <w:highlight w:val="none"/>
          <w:lang w:val="en-US" w:eastAsia="zh-CN" w:bidi="ar-SA"/>
        </w:rPr>
        <w:t>万元，占政府采购支出总额的</w:t>
      </w:r>
      <w:r>
        <w:rPr>
          <w:rFonts w:hint="default" w:ascii="Times New Roman" w:hAnsi="Times New Roman" w:eastAsia="仿宋_GB2312" w:cs="Times New Roman"/>
          <w:b/>
          <w:bCs/>
          <w:sz w:val="32"/>
          <w:szCs w:val="32"/>
          <w:lang w:val="en-US" w:eastAsia="zh-CN"/>
        </w:rPr>
        <w:t>93.74</w:t>
      </w:r>
      <w:r>
        <w:rPr>
          <w:rFonts w:hint="default" w:ascii="Times New Roman" w:hAnsi="Times New Roman" w:eastAsia="仿宋_GB2312" w:cs="Times New Roman"/>
          <w:b/>
          <w:bCs/>
          <w:color w:val="auto"/>
          <w:kern w:val="2"/>
          <w:sz w:val="32"/>
          <w:szCs w:val="32"/>
          <w:highlight w:val="none"/>
          <w:lang w:val="en-US" w:eastAsia="zh-CN" w:bidi="ar-SA"/>
        </w:rPr>
        <w:t>%，其中：授予小微企业合同金额</w:t>
      </w:r>
      <w:r>
        <w:rPr>
          <w:rFonts w:hint="default" w:ascii="Times New Roman" w:hAnsi="Times New Roman" w:eastAsia="仿宋_GB2312" w:cs="Times New Roman"/>
          <w:b/>
          <w:bCs/>
          <w:sz w:val="32"/>
          <w:szCs w:val="32"/>
          <w:lang w:val="en-US" w:eastAsia="zh-CN"/>
        </w:rPr>
        <w:t>50.95</w:t>
      </w:r>
      <w:r>
        <w:rPr>
          <w:rFonts w:hint="default" w:ascii="Times New Roman" w:hAnsi="Times New Roman" w:eastAsia="仿宋_GB2312" w:cs="Times New Roman"/>
          <w:b/>
          <w:bCs/>
          <w:color w:val="auto"/>
          <w:kern w:val="2"/>
          <w:sz w:val="32"/>
          <w:szCs w:val="32"/>
          <w:highlight w:val="none"/>
          <w:lang w:val="en-US" w:eastAsia="zh-CN" w:bidi="ar-SA"/>
        </w:rPr>
        <w:t>万元，占政府采购支出总额的</w:t>
      </w:r>
      <w:r>
        <w:rPr>
          <w:rFonts w:hint="default" w:ascii="Times New Roman" w:hAnsi="Times New Roman" w:eastAsia="仿宋_GB2312" w:cs="Times New Roman"/>
          <w:b/>
          <w:bCs/>
          <w:sz w:val="32"/>
          <w:szCs w:val="32"/>
          <w:lang w:val="en-US" w:eastAsia="zh-CN"/>
        </w:rPr>
        <w:t>93.74</w:t>
      </w:r>
      <w:r>
        <w:rPr>
          <w:rFonts w:hint="default" w:ascii="Times New Roman" w:hAnsi="Times New Roman" w:eastAsia="仿宋_GB2312" w:cs="Times New Roman"/>
          <w:b/>
          <w:bCs/>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outlineLvl w:val="2"/>
        <w:rPr>
          <w:rFonts w:hint="default" w:ascii="Times New Roman" w:hAnsi="Times New Roman" w:eastAsia="楷体_GB2312" w:cs="Times New Roman"/>
          <w:b/>
          <w:bCs/>
          <w:color w:val="auto"/>
          <w:sz w:val="32"/>
          <w:szCs w:val="32"/>
          <w:highlight w:val="none"/>
        </w:rPr>
      </w:pPr>
      <w:bookmarkStart w:id="52" w:name="_Toc15377224"/>
      <w:r>
        <w:rPr>
          <w:rFonts w:hint="default" w:ascii="Times New Roman" w:hAnsi="Times New Roman" w:eastAsia="楷体_GB2312" w:cs="Times New Roman"/>
          <w:b/>
          <w:bCs/>
          <w:color w:val="auto"/>
          <w:sz w:val="32"/>
          <w:szCs w:val="32"/>
          <w:highlight w:val="none"/>
        </w:rPr>
        <w:t>（三）国有资产占有使用情况</w:t>
      </w:r>
      <w:bookmarkEnd w:id="52"/>
    </w:p>
    <w:p>
      <w:pPr>
        <w:keepNext w:val="0"/>
        <w:keepLines w:val="0"/>
        <w:pageBreakBefore w:val="0"/>
        <w:widowControl w:val="0"/>
        <w:kinsoku/>
        <w:wordWrap/>
        <w:overflowPunct/>
        <w:topLinePunct w:val="0"/>
        <w:autoSpaceDE/>
        <w:autoSpaceDN/>
        <w:bidi w:val="0"/>
        <w:adjustRightInd/>
        <w:spacing w:line="600" w:lineRule="exact"/>
        <w:ind w:left="0" w:firstLine="640"/>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截至2024年12月31日，</w:t>
      </w:r>
      <w:r>
        <w:rPr>
          <w:rFonts w:hint="default" w:ascii="Times New Roman" w:hAnsi="Times New Roman" w:eastAsia="仿宋_GB2312" w:cs="Times New Roman"/>
          <w:b/>
          <w:bCs/>
          <w:color w:val="auto"/>
          <w:sz w:val="32"/>
          <w:szCs w:val="32"/>
          <w:highlight w:val="none"/>
          <w:lang w:val="en-US" w:eastAsia="zh-CN"/>
        </w:rPr>
        <w:t>市残联</w:t>
      </w:r>
      <w:r>
        <w:rPr>
          <w:rFonts w:hint="default" w:ascii="Times New Roman" w:hAnsi="Times New Roman" w:eastAsia="仿宋_GB2312" w:cs="Times New Roman"/>
          <w:b/>
          <w:bCs/>
          <w:color w:val="auto"/>
          <w:sz w:val="32"/>
          <w:szCs w:val="32"/>
          <w:highlight w:val="none"/>
        </w:rPr>
        <w:t>共有车辆</w:t>
      </w: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rPr>
        <w:t>辆，其中：主要领导干部用车</w:t>
      </w:r>
      <w:r>
        <w:rPr>
          <w:rFonts w:hint="default" w:ascii="Times New Roman" w:hAnsi="Times New Roman" w:eastAsia="仿宋_GB2312"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辆、机要通信用车</w:t>
      </w:r>
      <w:r>
        <w:rPr>
          <w:rFonts w:hint="default" w:ascii="Times New Roman" w:hAnsi="Times New Roman" w:eastAsia="仿宋_GB2312"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辆、应急保障用车</w:t>
      </w:r>
      <w:r>
        <w:rPr>
          <w:rFonts w:hint="default" w:ascii="Times New Roman" w:hAnsi="Times New Roman" w:eastAsia="仿宋_GB2312"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辆、</w:t>
      </w:r>
      <w:r>
        <w:rPr>
          <w:rFonts w:hint="default" w:ascii="Times New Roman" w:hAnsi="Times New Roman" w:eastAsia="仿宋_GB2312" w:cs="Times New Roman"/>
          <w:b/>
          <w:bCs/>
          <w:color w:val="auto"/>
          <w:sz w:val="32"/>
          <w:szCs w:val="32"/>
          <w:highlight w:val="none"/>
          <w:lang w:val="en-US" w:eastAsia="zh-CN"/>
        </w:rPr>
        <w:t>特种专业技术用车2辆、</w:t>
      </w:r>
      <w:r>
        <w:rPr>
          <w:rFonts w:hint="default" w:ascii="Times New Roman" w:hAnsi="Times New Roman" w:eastAsia="仿宋_GB2312" w:cs="Times New Roman"/>
          <w:b/>
          <w:bCs/>
          <w:color w:val="auto"/>
          <w:sz w:val="32"/>
          <w:szCs w:val="32"/>
          <w:highlight w:val="none"/>
        </w:rPr>
        <w:t>其他用车</w:t>
      </w:r>
      <w:r>
        <w:rPr>
          <w:rFonts w:hint="default" w:ascii="Times New Roman" w:hAnsi="Times New Roman" w:eastAsia="仿宋_GB2312" w:cs="Times New Roman"/>
          <w:b/>
          <w:bCs/>
          <w:color w:val="auto"/>
          <w:sz w:val="32"/>
          <w:szCs w:val="32"/>
          <w:highlight w:val="none"/>
          <w:lang w:val="en-US" w:eastAsia="zh-CN"/>
        </w:rPr>
        <w:t>0</w:t>
      </w:r>
      <w:r>
        <w:rPr>
          <w:rFonts w:hint="default" w:ascii="Times New Roman" w:hAnsi="Times New Roman" w:eastAsia="仿宋_GB2312" w:cs="Times New Roman"/>
          <w:b/>
          <w:bCs/>
          <w:color w:val="auto"/>
          <w:sz w:val="32"/>
          <w:szCs w:val="32"/>
          <w:highlight w:val="none"/>
        </w:rPr>
        <w:t>辆</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kern w:val="2"/>
          <w:sz w:val="32"/>
          <w:szCs w:val="32"/>
          <w:highlight w:val="none"/>
          <w:lang w:val="en-US" w:eastAsia="zh-CN" w:bidi="ar-SA"/>
        </w:rPr>
        <w:t>单价100万元（含）以上设备（不含车辆）</w:t>
      </w:r>
      <w:r>
        <w:rPr>
          <w:rFonts w:hint="default" w:ascii="Times New Roman" w:hAnsi="Times New Roman" w:eastAsia="仿宋_GB2312" w:cs="Times New Roman"/>
          <w:b/>
          <w:bCs/>
          <w:sz w:val="32"/>
          <w:szCs w:val="32"/>
          <w:lang w:val="en-US" w:eastAsia="zh-CN"/>
        </w:rPr>
        <w:t>0</w:t>
      </w:r>
      <w:r>
        <w:rPr>
          <w:rFonts w:hint="default" w:ascii="Times New Roman" w:hAnsi="Times New Roman" w:eastAsia="仿宋_GB2312" w:cs="Times New Roman"/>
          <w:b/>
          <w:bCs/>
          <w:color w:val="auto"/>
          <w:kern w:val="2"/>
          <w:sz w:val="32"/>
          <w:szCs w:val="32"/>
          <w:highlight w:val="none"/>
          <w:lang w:val="en-US" w:eastAsia="zh-CN" w:bidi="ar-SA"/>
        </w:rPr>
        <w:t>台（套）。</w:t>
      </w:r>
    </w:p>
    <w:p>
      <w:pPr>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outlineLvl w:val="2"/>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（四）预算绩效管理情况</w:t>
      </w:r>
    </w:p>
    <w:p>
      <w:pPr>
        <w:keepNext w:val="0"/>
        <w:keepLines w:val="0"/>
        <w:pageBreakBefore w:val="0"/>
        <w:widowControl w:val="0"/>
        <w:kinsoku/>
        <w:wordWrap/>
        <w:overflowPunct/>
        <w:topLinePunct w:val="0"/>
        <w:autoSpaceDE/>
        <w:autoSpaceDN/>
        <w:bidi w:val="0"/>
        <w:adjustRightInd/>
        <w:spacing w:line="600" w:lineRule="exact"/>
        <w:ind w:left="0" w:firstLine="640"/>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根据预算绩效管理要求，市残联在2024年度预算编制阶段，组织对18个项目编制了绩效目标，预算执行过程中，选取18个项目开展绩效监控。组织对2024年度一般公共预算、政府性基金预算、国有资本经营预算、社会保险基金预算以及资本资产、债券资金等全面开展绩效自评，形成市残联部门整体（含部门预算项目）绩效自评报告、残疾人事业发展补助市级资金专项预算项目绩效自评报告，其中，市残联部门整体（含部门预算项目）绩效自评得分为93.73分，部门决策方面与相关法律法规相符、与部门“三定”方案相符，与部门中长期规划相符、与省残联工作任务相符，项目预算测算依据较充分，预算编制合理，部门绩效目标编制要素完整、决策规范，基本与预算同步调整，整体绩效目标基本实现，严格按照年初制定的方案较好地完成了残疾人康复、教育、劳动就业、扶贫、维权、文化体育、社会保障等工作，残疾人事业取得了长足发展；残疾人事业发展补助市级资金专项预算项目绩效自评得分为96.54分，</w:t>
      </w:r>
      <w:r>
        <w:rPr>
          <w:rFonts w:hint="default" w:ascii="Times New Roman" w:hAnsi="Times New Roman" w:eastAsia="方正仿宋简体" w:cs="Times New Roman"/>
          <w:b/>
          <w:bCs/>
          <w:color w:val="auto"/>
          <w:sz w:val="32"/>
          <w:szCs w:val="32"/>
        </w:rPr>
        <w:t>该项目政策依据充分、完善，资金使用和项目管理较规范，通过项目实施，对提高我市残疾人生活水平、减轻残疾人经济负担、促进社会和谐与稳定方面起到积极作用。</w:t>
      </w:r>
      <w:r>
        <w:rPr>
          <w:rFonts w:hint="default" w:ascii="Times New Roman" w:hAnsi="Times New Roman" w:eastAsia="仿宋_GB2312" w:cs="Times New Roman"/>
          <w:b/>
          <w:bCs/>
          <w:color w:val="auto"/>
          <w:kern w:val="2"/>
          <w:sz w:val="32"/>
          <w:szCs w:val="32"/>
          <w:highlight w:val="none"/>
          <w:lang w:val="en-US" w:eastAsia="zh-CN" w:bidi="ar-SA"/>
        </w:rPr>
        <w:t>绩效自评报告详见附件。</w:t>
      </w:r>
    </w:p>
    <w:p>
      <w:pPr>
        <w:numPr>
          <w:ilvl w:val="0"/>
          <w:numId w:val="0"/>
        </w:numPr>
        <w:spacing w:line="600" w:lineRule="exact"/>
        <w:jc w:val="center"/>
        <w:outlineLvl w:val="0"/>
        <w:rPr>
          <w:rFonts w:hint="default" w:ascii="Times New Roman" w:hAnsi="Times New Roman" w:eastAsia="黑体" w:cs="Times New Roman"/>
          <w:b/>
          <w:bCs/>
          <w:color w:val="auto"/>
          <w:sz w:val="44"/>
          <w:szCs w:val="44"/>
          <w:highlight w:val="none"/>
        </w:rPr>
      </w:pPr>
      <w:bookmarkStart w:id="53" w:name="_Toc15396613"/>
      <w:bookmarkStart w:id="54" w:name="_Toc15377225"/>
    </w:p>
    <w:p>
      <w:pPr>
        <w:numPr>
          <w:ilvl w:val="0"/>
          <w:numId w:val="0"/>
        </w:numPr>
        <w:spacing w:line="600" w:lineRule="exact"/>
        <w:jc w:val="center"/>
        <w:outlineLvl w:val="0"/>
        <w:rPr>
          <w:rFonts w:hint="default" w:ascii="Times New Roman" w:hAnsi="Times New Roman" w:eastAsia="黑体" w:cs="Times New Roman"/>
          <w:b/>
          <w:bCs/>
          <w:color w:val="auto"/>
          <w:sz w:val="44"/>
          <w:szCs w:val="44"/>
          <w:highlight w:val="none"/>
        </w:rPr>
      </w:pPr>
    </w:p>
    <w:p>
      <w:pPr>
        <w:numPr>
          <w:ilvl w:val="0"/>
          <w:numId w:val="0"/>
        </w:numPr>
        <w:spacing w:line="600" w:lineRule="exact"/>
        <w:jc w:val="center"/>
        <w:outlineLvl w:val="0"/>
        <w:rPr>
          <w:rFonts w:hint="default" w:ascii="Times New Roman" w:hAnsi="Times New Roman" w:eastAsia="黑体" w:cs="Times New Roman"/>
          <w:b/>
          <w:bCs/>
          <w:color w:val="auto"/>
          <w:sz w:val="44"/>
          <w:szCs w:val="44"/>
          <w:highlight w:val="none"/>
        </w:rPr>
      </w:pPr>
    </w:p>
    <w:p>
      <w:pPr>
        <w:numPr>
          <w:ilvl w:val="0"/>
          <w:numId w:val="0"/>
        </w:numPr>
        <w:spacing w:line="600" w:lineRule="exact"/>
        <w:jc w:val="center"/>
        <w:outlineLvl w:val="0"/>
        <w:rPr>
          <w:rFonts w:hint="default" w:ascii="Times New Roman" w:hAnsi="Times New Roman" w:eastAsia="黑体" w:cs="Times New Roman"/>
          <w:b/>
          <w:bCs/>
          <w:color w:val="auto"/>
          <w:sz w:val="44"/>
          <w:szCs w:val="44"/>
          <w:highlight w:val="none"/>
        </w:rPr>
      </w:pPr>
    </w:p>
    <w:p>
      <w:pPr>
        <w:pStyle w:val="2"/>
        <w:rPr>
          <w:rFonts w:hint="default" w:ascii="Times New Roman" w:hAnsi="Times New Roman" w:cs="Times New Roman"/>
        </w:rPr>
      </w:pPr>
    </w:p>
    <w:p>
      <w:pPr>
        <w:numPr>
          <w:ilvl w:val="0"/>
          <w:numId w:val="0"/>
        </w:numPr>
        <w:spacing w:line="600" w:lineRule="exact"/>
        <w:jc w:val="center"/>
        <w:outlineLvl w:val="0"/>
        <w:rPr>
          <w:rFonts w:hint="default" w:ascii="Times New Roman" w:hAnsi="Times New Roman" w:eastAsia="黑体" w:cs="Times New Roman"/>
          <w:b/>
          <w:bCs/>
          <w:color w:val="auto"/>
          <w:sz w:val="44"/>
          <w:szCs w:val="44"/>
          <w:highlight w:val="none"/>
        </w:rPr>
      </w:pPr>
    </w:p>
    <w:p>
      <w:pPr>
        <w:numPr>
          <w:ilvl w:val="0"/>
          <w:numId w:val="0"/>
        </w:numPr>
        <w:spacing w:line="600" w:lineRule="exact"/>
        <w:jc w:val="center"/>
        <w:outlineLvl w:val="0"/>
        <w:rPr>
          <w:rFonts w:hint="default" w:ascii="Times New Roman" w:hAnsi="Times New Roman" w:eastAsia="黑体" w:cs="Times New Roman"/>
          <w:b/>
          <w:bCs/>
          <w:color w:val="auto"/>
          <w:sz w:val="44"/>
          <w:szCs w:val="44"/>
          <w:highlight w:val="none"/>
        </w:rPr>
      </w:pPr>
    </w:p>
    <w:p>
      <w:pPr>
        <w:numPr>
          <w:ilvl w:val="0"/>
          <w:numId w:val="0"/>
        </w:numPr>
        <w:spacing w:line="600" w:lineRule="exact"/>
        <w:jc w:val="center"/>
        <w:outlineLvl w:val="0"/>
        <w:rPr>
          <w:rFonts w:hint="default" w:ascii="Times New Roman" w:hAnsi="Times New Roman" w:eastAsia="黑体" w:cs="Times New Roman"/>
          <w:b/>
          <w:bCs/>
          <w:color w:val="auto"/>
          <w:sz w:val="44"/>
          <w:szCs w:val="44"/>
          <w:highlight w:val="none"/>
        </w:rPr>
      </w:pPr>
      <w:r>
        <w:rPr>
          <w:rFonts w:hint="default" w:ascii="Times New Roman" w:hAnsi="Times New Roman" w:eastAsia="黑体" w:cs="Times New Roman"/>
          <w:b/>
          <w:bCs/>
          <w:color w:val="auto"/>
          <w:sz w:val="44"/>
          <w:szCs w:val="44"/>
          <w:highlight w:val="none"/>
        </w:rPr>
        <w:t>第</w:t>
      </w:r>
      <w:r>
        <w:rPr>
          <w:rFonts w:hint="default" w:ascii="Times New Roman" w:hAnsi="Times New Roman" w:eastAsia="黑体" w:cs="Times New Roman"/>
          <w:b/>
          <w:bCs/>
          <w:color w:val="auto"/>
          <w:sz w:val="44"/>
          <w:szCs w:val="44"/>
          <w:highlight w:val="none"/>
          <w:lang w:eastAsia="zh-CN"/>
        </w:rPr>
        <w:t>三</w:t>
      </w:r>
      <w:r>
        <w:rPr>
          <w:rFonts w:hint="default" w:ascii="Times New Roman" w:hAnsi="Times New Roman" w:eastAsia="黑体" w:cs="Times New Roman"/>
          <w:b/>
          <w:bCs/>
          <w:color w:val="auto"/>
          <w:sz w:val="44"/>
          <w:szCs w:val="44"/>
          <w:highlight w:val="none"/>
        </w:rPr>
        <w:t>部分</w:t>
      </w:r>
      <w:r>
        <w:rPr>
          <w:rFonts w:hint="default" w:ascii="Times New Roman" w:hAnsi="Times New Roman" w:eastAsia="黑体" w:cs="Times New Roman"/>
          <w:b/>
          <w:bCs/>
          <w:color w:val="auto"/>
          <w:sz w:val="44"/>
          <w:szCs w:val="44"/>
          <w:highlight w:val="none"/>
          <w:lang w:val="en-US" w:eastAsia="zh-CN"/>
        </w:rPr>
        <w:t xml:space="preserve">  </w:t>
      </w:r>
      <w:r>
        <w:rPr>
          <w:rFonts w:hint="default" w:ascii="Times New Roman" w:hAnsi="Times New Roman" w:eastAsia="黑体" w:cs="Times New Roman"/>
          <w:b/>
          <w:bCs/>
          <w:color w:val="auto"/>
          <w:sz w:val="44"/>
          <w:szCs w:val="44"/>
          <w:highlight w:val="none"/>
        </w:rPr>
        <w:t>名词解释</w:t>
      </w:r>
      <w:bookmarkEnd w:id="53"/>
      <w:bookmarkEnd w:id="54"/>
    </w:p>
    <w:p>
      <w:pPr>
        <w:spacing w:line="600" w:lineRule="exact"/>
        <w:jc w:val="left"/>
        <w:rPr>
          <w:rFonts w:hint="default" w:ascii="Times New Roman" w:hAnsi="Times New Roman" w:cs="Times New Roman"/>
          <w:b/>
          <w:bCs/>
          <w:color w:val="auto"/>
          <w:sz w:val="44"/>
          <w:szCs w:val="44"/>
          <w:highlight w:val="none"/>
        </w:rPr>
      </w:pPr>
    </w:p>
    <w:p>
      <w:pPr>
        <w:pStyle w:val="30"/>
        <w:keepNext w:val="0"/>
        <w:keepLines w:val="0"/>
        <w:pageBreakBefore w:val="0"/>
        <w:numPr>
          <w:ilvl w:val="0"/>
          <w:numId w:val="0"/>
        </w:numPr>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auto"/>
          <w:sz w:val="32"/>
          <w:szCs w:val="32"/>
          <w:highlight w:val="none"/>
        </w:rPr>
      </w:pPr>
      <w:r>
        <w:rPr>
          <w:rFonts w:hint="default" w:ascii="Times New Roman" w:hAnsi="Times New Roman" w:eastAsia="方正仿宋简体" w:cs="Times New Roman"/>
          <w:b/>
          <w:bCs/>
          <w:color w:val="auto"/>
          <w:sz w:val="32"/>
          <w:szCs w:val="32"/>
          <w:lang w:val="en-US" w:eastAsia="zh-CN" w:bidi="ar-SA"/>
        </w:rPr>
        <w:t>1.</w:t>
      </w:r>
      <w:r>
        <w:rPr>
          <w:rFonts w:hint="default" w:ascii="Times New Roman" w:hAnsi="Times New Roman" w:eastAsia="方正仿宋简体" w:cs="Times New Roman"/>
          <w:b/>
          <w:bCs/>
          <w:color w:val="auto"/>
          <w:sz w:val="32"/>
          <w:szCs w:val="32"/>
          <w:highlight w:val="none"/>
        </w:rPr>
        <w:t>财政拨款收入：指单位从同级财政部门取得的财政预算资金。</w:t>
      </w:r>
    </w:p>
    <w:p>
      <w:pPr>
        <w:pStyle w:val="30"/>
        <w:keepNext w:val="0"/>
        <w:keepLines w:val="0"/>
        <w:pageBreakBefore w:val="0"/>
        <w:numPr>
          <w:ilvl w:val="0"/>
          <w:numId w:val="0"/>
        </w:numPr>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auto"/>
          <w:sz w:val="32"/>
          <w:szCs w:val="32"/>
          <w:highlight w:val="none"/>
        </w:rPr>
      </w:pPr>
      <w:r>
        <w:rPr>
          <w:rFonts w:hint="default" w:ascii="Times New Roman" w:hAnsi="Times New Roman" w:eastAsia="方正仿宋简体" w:cs="Times New Roman"/>
          <w:b/>
          <w:bCs/>
          <w:color w:val="auto"/>
          <w:sz w:val="32"/>
          <w:szCs w:val="32"/>
          <w:highlight w:val="none"/>
          <w:lang w:val="en-US" w:eastAsia="zh-CN"/>
        </w:rPr>
        <w:t>2.</w:t>
      </w:r>
      <w:r>
        <w:rPr>
          <w:rFonts w:hint="default" w:ascii="Times New Roman" w:hAnsi="Times New Roman" w:eastAsia="方正仿宋简体" w:cs="Times New Roman"/>
          <w:b/>
          <w:bCs/>
          <w:color w:val="auto"/>
          <w:sz w:val="32"/>
          <w:szCs w:val="32"/>
          <w:highlight w:val="none"/>
        </w:rPr>
        <w:t>事业收入：指事业单位开展专业业务活动及辅助活动所取得的收入。</w:t>
      </w:r>
    </w:p>
    <w:p>
      <w:pPr>
        <w:pStyle w:val="18"/>
        <w:keepNext w:val="0"/>
        <w:keepLines w:val="0"/>
        <w:pageBreakBefore w:val="0"/>
        <w:widowControl/>
        <w:kinsoku/>
        <w:wordWrap/>
        <w:overflowPunct/>
        <w:topLinePunct w:val="0"/>
        <w:bidi w:val="0"/>
        <w:snapToGrid/>
        <w:spacing w:before="0" w:beforeAutospacing="0" w:after="0" w:afterAutospacing="0" w:line="600" w:lineRule="exact"/>
        <w:ind w:firstLine="643" w:firstLineChars="200"/>
        <w:textAlignment w:val="auto"/>
        <w:rPr>
          <w:rFonts w:hint="default" w:ascii="Times New Roman" w:hAnsi="Times New Roman" w:eastAsia="方正仿宋简体" w:cs="Times New Roman"/>
          <w:b/>
          <w:bCs/>
          <w:color w:val="auto"/>
          <w:kern w:val="0"/>
          <w:sz w:val="32"/>
          <w:szCs w:val="32"/>
          <w:highlight w:val="none"/>
          <w:lang w:val="en-US" w:eastAsia="zh-CN" w:bidi="ar-SA"/>
        </w:rPr>
      </w:pPr>
      <w:r>
        <w:rPr>
          <w:rFonts w:hint="default" w:ascii="Times New Roman" w:hAnsi="Times New Roman" w:eastAsia="方正仿宋简体" w:cs="Times New Roman"/>
          <w:b/>
          <w:bCs/>
          <w:color w:val="auto"/>
          <w:kern w:val="0"/>
          <w:sz w:val="32"/>
          <w:szCs w:val="32"/>
          <w:highlight w:val="none"/>
          <w:lang w:val="en-US" w:eastAsia="zh-CN" w:bidi="ar-SA"/>
        </w:rPr>
        <w:t>3.经营收入：指事业单位在专业业务活动及其辅助活动之外开展非独立核算经营活动取得的收入。</w:t>
      </w:r>
    </w:p>
    <w:p>
      <w:pPr>
        <w:pStyle w:val="18"/>
        <w:keepNext w:val="0"/>
        <w:keepLines w:val="0"/>
        <w:pageBreakBefore w:val="0"/>
        <w:widowControl/>
        <w:kinsoku/>
        <w:wordWrap/>
        <w:overflowPunct/>
        <w:topLinePunct w:val="0"/>
        <w:bidi w:val="0"/>
        <w:snapToGrid/>
        <w:spacing w:before="0" w:beforeAutospacing="0" w:after="0" w:afterAutospacing="0" w:line="600" w:lineRule="exact"/>
        <w:ind w:firstLine="643" w:firstLineChars="200"/>
        <w:textAlignment w:val="auto"/>
        <w:rPr>
          <w:rFonts w:hint="default" w:ascii="Times New Roman" w:hAnsi="Times New Roman" w:eastAsia="方正仿宋简体" w:cs="Times New Roman"/>
          <w:b/>
          <w:bCs/>
          <w:color w:val="auto"/>
          <w:kern w:val="0"/>
          <w:sz w:val="32"/>
          <w:szCs w:val="32"/>
          <w:highlight w:val="none"/>
          <w:lang w:val="en-US" w:eastAsia="zh-CN" w:bidi="ar-SA"/>
        </w:rPr>
      </w:pPr>
      <w:r>
        <w:rPr>
          <w:rFonts w:hint="default" w:ascii="Times New Roman" w:hAnsi="Times New Roman" w:eastAsia="方正仿宋简体" w:cs="Times New Roman"/>
          <w:b/>
          <w:bCs/>
          <w:color w:val="auto"/>
          <w:kern w:val="0"/>
          <w:sz w:val="32"/>
          <w:szCs w:val="32"/>
          <w:highlight w:val="none"/>
          <w:lang w:val="en-US" w:eastAsia="zh-CN" w:bidi="ar-SA"/>
        </w:rPr>
        <w:t>4.其他收入：指除上述“财政拨款收入</w:t>
      </w:r>
      <w:r>
        <w:rPr>
          <w:rFonts w:hint="eastAsia" w:eastAsia="方正仿宋简体" w:cs="Times New Roman"/>
          <w:b/>
          <w:bCs/>
          <w:color w:val="auto"/>
          <w:kern w:val="0"/>
          <w:sz w:val="32"/>
          <w:szCs w:val="32"/>
          <w:highlight w:val="none"/>
          <w:lang w:val="en-US" w:eastAsia="zh-CN" w:bidi="ar-SA"/>
        </w:rPr>
        <w:t>”“</w:t>
      </w:r>
      <w:r>
        <w:rPr>
          <w:rFonts w:hint="default" w:ascii="Times New Roman" w:hAnsi="Times New Roman" w:eastAsia="方正仿宋简体" w:cs="Times New Roman"/>
          <w:b/>
          <w:bCs/>
          <w:color w:val="auto"/>
          <w:kern w:val="0"/>
          <w:sz w:val="32"/>
          <w:szCs w:val="32"/>
          <w:highlight w:val="none"/>
          <w:lang w:val="en-US" w:eastAsia="zh-CN" w:bidi="ar-SA"/>
        </w:rPr>
        <w:t>事业收入</w:t>
      </w:r>
      <w:r>
        <w:rPr>
          <w:rFonts w:hint="eastAsia" w:eastAsia="方正仿宋简体" w:cs="Times New Roman"/>
          <w:b/>
          <w:bCs/>
          <w:color w:val="auto"/>
          <w:kern w:val="0"/>
          <w:sz w:val="32"/>
          <w:szCs w:val="32"/>
          <w:highlight w:val="none"/>
          <w:lang w:val="en-US" w:eastAsia="zh-CN" w:bidi="ar-SA"/>
        </w:rPr>
        <w:t>”“</w:t>
      </w:r>
      <w:r>
        <w:rPr>
          <w:rFonts w:hint="default" w:ascii="Times New Roman" w:hAnsi="Times New Roman" w:eastAsia="方正仿宋简体" w:cs="Times New Roman"/>
          <w:b/>
          <w:bCs/>
          <w:color w:val="auto"/>
          <w:kern w:val="0"/>
          <w:sz w:val="32"/>
          <w:szCs w:val="32"/>
          <w:highlight w:val="none"/>
          <w:lang w:val="en-US" w:eastAsia="zh-CN" w:bidi="ar-SA"/>
        </w:rPr>
        <w:t>经营收入”等以外的收入。</w:t>
      </w:r>
    </w:p>
    <w:p>
      <w:pPr>
        <w:pStyle w:val="18"/>
        <w:keepNext w:val="0"/>
        <w:keepLines w:val="0"/>
        <w:pageBreakBefore w:val="0"/>
        <w:widowControl/>
        <w:kinsoku/>
        <w:wordWrap/>
        <w:overflowPunct/>
        <w:topLinePunct w:val="0"/>
        <w:bidi w:val="0"/>
        <w:snapToGrid/>
        <w:spacing w:before="0" w:beforeAutospacing="0" w:after="0" w:afterAutospacing="0" w:line="600" w:lineRule="exact"/>
        <w:ind w:firstLine="643" w:firstLineChars="200"/>
        <w:textAlignment w:val="auto"/>
        <w:rPr>
          <w:rFonts w:hint="default" w:ascii="Times New Roman" w:hAnsi="Times New Roman" w:eastAsia="方正仿宋简体" w:cs="Times New Roman"/>
          <w:b/>
          <w:bCs/>
          <w:color w:val="auto"/>
          <w:kern w:val="0"/>
          <w:sz w:val="32"/>
          <w:szCs w:val="32"/>
          <w:highlight w:val="none"/>
          <w:lang w:val="en-US" w:eastAsia="zh-CN" w:bidi="ar-SA"/>
        </w:rPr>
      </w:pPr>
      <w:r>
        <w:rPr>
          <w:rFonts w:hint="default" w:ascii="Times New Roman" w:hAnsi="Times New Roman" w:eastAsia="方正仿宋简体" w:cs="Times New Roman"/>
          <w:b/>
          <w:bCs/>
          <w:color w:val="auto"/>
          <w:kern w:val="0"/>
          <w:sz w:val="32"/>
          <w:szCs w:val="32"/>
          <w:highlight w:val="none"/>
          <w:lang w:val="en-US" w:eastAsia="zh-CN" w:bidi="ar-SA"/>
        </w:rPr>
        <w:t>5.上年结转：指以前年度尚未完成，结转到本年仍按原规定用途继续使用的资金。</w:t>
      </w:r>
    </w:p>
    <w:p>
      <w:pPr>
        <w:keepNext w:val="0"/>
        <w:keepLines w:val="0"/>
        <w:pageBreakBefore w:val="0"/>
        <w:widowControl/>
        <w:shd w:val="clear" w:color="auto" w:fill="FFFFFF"/>
        <w:kinsoku/>
        <w:wordWrap/>
        <w:overflowPunct/>
        <w:topLinePunct w:val="0"/>
        <w:bidi w:val="0"/>
        <w:snapToGrid/>
        <w:spacing w:beforeAutospacing="0" w:afterAutospacing="0" w:line="600" w:lineRule="exact"/>
        <w:ind w:firstLine="643" w:firstLineChars="200"/>
        <w:jc w:val="left"/>
        <w:textAlignment w:val="auto"/>
        <w:rPr>
          <w:rFonts w:hint="default" w:ascii="Times New Roman" w:hAnsi="Times New Roman" w:eastAsia="方正仿宋简体" w:cs="Times New Roman"/>
          <w:b/>
          <w:bCs/>
          <w:color w:val="333333"/>
          <w:kern w:val="0"/>
          <w:sz w:val="32"/>
          <w:szCs w:val="32"/>
          <w:shd w:val="clear" w:color="auto" w:fill="FFFFFF"/>
          <w:lang w:eastAsia="zh-CN"/>
        </w:rPr>
      </w:pPr>
      <w:r>
        <w:rPr>
          <w:rFonts w:hint="default" w:ascii="Times New Roman" w:hAnsi="Times New Roman" w:eastAsia="方正仿宋简体" w:cs="Times New Roman"/>
          <w:b/>
          <w:bCs/>
          <w:color w:val="333333"/>
          <w:kern w:val="0"/>
          <w:sz w:val="32"/>
          <w:szCs w:val="32"/>
          <w:shd w:val="clear" w:color="auto" w:fill="FFFFFF"/>
          <w:lang w:val="en-US" w:eastAsia="zh-CN"/>
        </w:rPr>
        <w:t>6</w:t>
      </w:r>
      <w:r>
        <w:rPr>
          <w:rFonts w:hint="default" w:ascii="Times New Roman" w:hAnsi="Times New Roman" w:eastAsia="方正仿宋简体" w:cs="Times New Roman"/>
          <w:b/>
          <w:bCs/>
          <w:color w:val="333333"/>
          <w:kern w:val="0"/>
          <w:sz w:val="32"/>
          <w:szCs w:val="32"/>
          <w:shd w:val="clear" w:color="auto" w:fill="FFFFFF"/>
        </w:rPr>
        <w:t xml:space="preserve">.社会保障和就业（208类）残疾人事业（20811款）行政运行（2081101项）：指行政单位（包括实行公务员管理的事业单位）的基本支出。 </w:t>
      </w:r>
    </w:p>
    <w:p>
      <w:pPr>
        <w:keepNext w:val="0"/>
        <w:keepLines w:val="0"/>
        <w:pageBreakBefore w:val="0"/>
        <w:widowControl/>
        <w:shd w:val="clear" w:color="auto" w:fill="FFFFFF"/>
        <w:kinsoku/>
        <w:wordWrap/>
        <w:overflowPunct/>
        <w:topLinePunct w:val="0"/>
        <w:bidi w:val="0"/>
        <w:snapToGrid/>
        <w:spacing w:beforeAutospacing="0" w:afterAutospacing="0" w:line="600" w:lineRule="exact"/>
        <w:ind w:firstLine="643" w:firstLineChars="200"/>
        <w:jc w:val="left"/>
        <w:textAlignment w:val="auto"/>
        <w:rPr>
          <w:rFonts w:hint="default" w:ascii="Times New Roman" w:hAnsi="Times New Roman" w:eastAsia="方正仿宋简体" w:cs="Times New Roman"/>
          <w:b/>
          <w:bCs/>
          <w:color w:val="333333"/>
          <w:kern w:val="0"/>
          <w:sz w:val="32"/>
          <w:szCs w:val="32"/>
          <w:shd w:val="clear" w:color="auto" w:fill="FFFFFF"/>
        </w:rPr>
      </w:pPr>
      <w:r>
        <w:rPr>
          <w:rFonts w:hint="default" w:ascii="Times New Roman" w:hAnsi="Times New Roman" w:eastAsia="方正仿宋简体" w:cs="Times New Roman"/>
          <w:b/>
          <w:bCs/>
          <w:color w:val="333333"/>
          <w:kern w:val="0"/>
          <w:sz w:val="32"/>
          <w:szCs w:val="32"/>
          <w:shd w:val="clear" w:color="auto" w:fill="FFFFFF"/>
          <w:lang w:val="en-US" w:eastAsia="zh-CN"/>
        </w:rPr>
        <w:t>7</w:t>
      </w:r>
      <w:r>
        <w:rPr>
          <w:rFonts w:hint="default" w:ascii="Times New Roman" w:hAnsi="Times New Roman" w:eastAsia="方正仿宋简体" w:cs="Times New Roman"/>
          <w:b/>
          <w:bCs/>
          <w:color w:val="333333"/>
          <w:kern w:val="0"/>
          <w:sz w:val="32"/>
          <w:szCs w:val="32"/>
          <w:shd w:val="clear" w:color="auto" w:fill="FFFFFF"/>
        </w:rPr>
        <w:t>.社会保障和就业（208类）残疾人事业（20811款）一般</w:t>
      </w:r>
      <w:r>
        <w:rPr>
          <w:rFonts w:hint="default" w:ascii="Times New Roman" w:hAnsi="Times New Roman" w:eastAsia="方正仿宋简体" w:cs="Times New Roman"/>
          <w:b/>
          <w:bCs/>
          <w:color w:val="333333"/>
          <w:kern w:val="0"/>
          <w:sz w:val="32"/>
          <w:szCs w:val="32"/>
          <w:shd w:val="clear" w:color="auto" w:fill="FFFFFF"/>
          <w:lang w:eastAsia="zh-CN"/>
        </w:rPr>
        <w:t>行政管理</w:t>
      </w:r>
      <w:r>
        <w:rPr>
          <w:rFonts w:hint="default" w:ascii="Times New Roman" w:hAnsi="Times New Roman" w:eastAsia="方正仿宋简体" w:cs="Times New Roman"/>
          <w:b/>
          <w:bCs/>
          <w:color w:val="333333"/>
          <w:kern w:val="0"/>
          <w:sz w:val="32"/>
          <w:szCs w:val="32"/>
          <w:shd w:val="clear" w:color="auto" w:fill="FFFFFF"/>
        </w:rPr>
        <w:t xml:space="preserve">事务（2081102项）：指行政单位（包括实行公务员管理的事业单位）未单独设置项级科目的其他项目支出。 </w:t>
      </w:r>
    </w:p>
    <w:p>
      <w:pPr>
        <w:keepNext w:val="0"/>
        <w:keepLines w:val="0"/>
        <w:pageBreakBefore w:val="0"/>
        <w:widowControl/>
        <w:shd w:val="clear" w:color="auto" w:fill="FFFFFF"/>
        <w:kinsoku/>
        <w:wordWrap/>
        <w:overflowPunct/>
        <w:topLinePunct w:val="0"/>
        <w:bidi w:val="0"/>
        <w:snapToGrid/>
        <w:spacing w:beforeAutospacing="0" w:afterAutospacing="0" w:line="600" w:lineRule="exact"/>
        <w:ind w:firstLine="643" w:firstLineChars="200"/>
        <w:jc w:val="left"/>
        <w:textAlignment w:val="auto"/>
        <w:rPr>
          <w:rFonts w:hint="default" w:ascii="Times New Roman" w:hAnsi="Times New Roman" w:eastAsia="方正仿宋简体" w:cs="Times New Roman"/>
          <w:b/>
          <w:bCs/>
          <w:color w:val="333333"/>
          <w:kern w:val="0"/>
          <w:sz w:val="32"/>
          <w:szCs w:val="32"/>
          <w:shd w:val="clear" w:color="auto" w:fill="FFFFFF"/>
        </w:rPr>
      </w:pPr>
      <w:r>
        <w:rPr>
          <w:rFonts w:hint="default" w:ascii="Times New Roman" w:hAnsi="Times New Roman" w:eastAsia="方正仿宋简体" w:cs="Times New Roman"/>
          <w:b/>
          <w:bCs/>
          <w:color w:val="333333"/>
          <w:kern w:val="0"/>
          <w:sz w:val="32"/>
          <w:szCs w:val="32"/>
          <w:shd w:val="clear" w:color="auto" w:fill="FFFFFF"/>
          <w:lang w:val="en-US" w:eastAsia="zh-CN"/>
        </w:rPr>
        <w:t>8.</w:t>
      </w:r>
      <w:r>
        <w:rPr>
          <w:rFonts w:hint="default" w:ascii="Times New Roman" w:hAnsi="Times New Roman" w:eastAsia="方正仿宋简体" w:cs="Times New Roman"/>
          <w:b/>
          <w:bCs/>
          <w:color w:val="333333"/>
          <w:kern w:val="0"/>
          <w:sz w:val="32"/>
          <w:szCs w:val="32"/>
          <w:shd w:val="clear" w:color="auto" w:fill="FFFFFF"/>
        </w:rPr>
        <w:t>社会保障和就业（208类）残疾人事业（20811款）</w:t>
      </w:r>
      <w:r>
        <w:rPr>
          <w:rFonts w:hint="default" w:ascii="Times New Roman" w:hAnsi="Times New Roman" w:eastAsia="方正仿宋简体" w:cs="Times New Roman"/>
          <w:b/>
          <w:bCs/>
          <w:color w:val="333333"/>
          <w:kern w:val="0"/>
          <w:sz w:val="32"/>
          <w:szCs w:val="32"/>
          <w:shd w:val="clear" w:color="auto" w:fill="FFFFFF"/>
          <w:lang w:eastAsia="zh-CN"/>
        </w:rPr>
        <w:t>机关服务</w:t>
      </w:r>
      <w:r>
        <w:rPr>
          <w:rFonts w:hint="default" w:ascii="Times New Roman" w:hAnsi="Times New Roman" w:eastAsia="方正仿宋简体" w:cs="Times New Roman"/>
          <w:b/>
          <w:bCs/>
          <w:color w:val="333333"/>
          <w:kern w:val="0"/>
          <w:sz w:val="32"/>
          <w:szCs w:val="32"/>
          <w:shd w:val="clear" w:color="auto" w:fill="FFFFFF"/>
        </w:rPr>
        <w:t>（208110</w:t>
      </w:r>
      <w:r>
        <w:rPr>
          <w:rFonts w:hint="default" w:ascii="Times New Roman" w:hAnsi="Times New Roman" w:eastAsia="方正仿宋简体" w:cs="Times New Roman"/>
          <w:b/>
          <w:bCs/>
          <w:color w:val="333333"/>
          <w:kern w:val="0"/>
          <w:sz w:val="32"/>
          <w:szCs w:val="32"/>
          <w:shd w:val="clear" w:color="auto" w:fill="FFFFFF"/>
          <w:lang w:val="en-US" w:eastAsia="zh-CN"/>
        </w:rPr>
        <w:t>3</w:t>
      </w:r>
      <w:r>
        <w:rPr>
          <w:rFonts w:hint="default" w:ascii="Times New Roman" w:hAnsi="Times New Roman" w:eastAsia="方正仿宋简体" w:cs="Times New Roman"/>
          <w:b/>
          <w:bCs/>
          <w:color w:val="333333"/>
          <w:kern w:val="0"/>
          <w:sz w:val="32"/>
          <w:szCs w:val="32"/>
          <w:shd w:val="clear" w:color="auto" w:fill="FFFFFF"/>
        </w:rPr>
        <w:t>项）：</w:t>
      </w:r>
      <w:r>
        <w:rPr>
          <w:rFonts w:hint="default" w:ascii="Times New Roman" w:hAnsi="Times New Roman" w:eastAsia="方正仿宋简体" w:cs="Times New Roman"/>
          <w:b/>
          <w:bCs/>
          <w:color w:val="333333"/>
          <w:kern w:val="0"/>
          <w:sz w:val="32"/>
          <w:szCs w:val="32"/>
          <w:shd w:val="clear" w:color="auto" w:fill="FFFFFF"/>
          <w:lang w:eastAsia="zh-CN"/>
        </w:rPr>
        <w:t>反映为行政单位（包括实行公务员管理的事业单位）提供后</w:t>
      </w:r>
      <w:r>
        <w:rPr>
          <w:rFonts w:hint="default" w:ascii="Times New Roman" w:hAnsi="Times New Roman" w:eastAsia="方正仿宋简体" w:cs="Times New Roman"/>
          <w:b/>
          <w:bCs/>
          <w:color w:val="333333"/>
          <w:kern w:val="0"/>
          <w:sz w:val="32"/>
          <w:szCs w:val="32"/>
          <w:shd w:val="clear" w:color="auto" w:fill="FFFFFF"/>
          <w:lang w:val="en-US" w:eastAsia="zh-CN"/>
        </w:rPr>
        <w:t>勤服务的各类后勤服务中心、医务室等附属事业单位的支出。其他事业单位的支出，凡单独设置了项级科目的，在单独设置的项级科目中反映。未单独项级科目的，在“其他”项级科目中反映。</w:t>
      </w:r>
    </w:p>
    <w:p>
      <w:pPr>
        <w:keepNext w:val="0"/>
        <w:keepLines w:val="0"/>
        <w:pageBreakBefore w:val="0"/>
        <w:widowControl/>
        <w:shd w:val="clear" w:color="auto" w:fill="FFFFFF"/>
        <w:kinsoku/>
        <w:wordWrap/>
        <w:overflowPunct/>
        <w:topLinePunct w:val="0"/>
        <w:bidi w:val="0"/>
        <w:snapToGrid/>
        <w:spacing w:beforeAutospacing="0" w:afterAutospacing="0" w:line="600" w:lineRule="exact"/>
        <w:ind w:firstLine="643" w:firstLineChars="200"/>
        <w:jc w:val="left"/>
        <w:textAlignment w:val="auto"/>
        <w:rPr>
          <w:rFonts w:hint="default" w:ascii="Times New Roman" w:hAnsi="Times New Roman" w:eastAsia="方正仿宋简体" w:cs="Times New Roman"/>
          <w:b/>
          <w:bCs/>
          <w:color w:val="333333"/>
          <w:kern w:val="0"/>
          <w:sz w:val="32"/>
          <w:szCs w:val="32"/>
          <w:shd w:val="clear" w:color="auto" w:fill="FFFFFF"/>
        </w:rPr>
      </w:pPr>
      <w:r>
        <w:rPr>
          <w:rFonts w:hint="default" w:ascii="Times New Roman" w:hAnsi="Times New Roman" w:eastAsia="方正仿宋简体" w:cs="Times New Roman"/>
          <w:b/>
          <w:bCs/>
          <w:color w:val="333333"/>
          <w:kern w:val="0"/>
          <w:sz w:val="32"/>
          <w:szCs w:val="32"/>
          <w:shd w:val="clear" w:color="auto" w:fill="FFFFFF"/>
          <w:lang w:val="en-US" w:eastAsia="zh-CN"/>
        </w:rPr>
        <w:t>9</w:t>
      </w:r>
      <w:r>
        <w:rPr>
          <w:rFonts w:hint="default" w:ascii="Times New Roman" w:hAnsi="Times New Roman" w:eastAsia="方正仿宋简体" w:cs="Times New Roman"/>
          <w:b/>
          <w:bCs/>
          <w:color w:val="333333"/>
          <w:kern w:val="0"/>
          <w:sz w:val="32"/>
          <w:szCs w:val="32"/>
          <w:shd w:val="clear" w:color="auto" w:fill="FFFFFF"/>
        </w:rPr>
        <w:t>.社会保障和就业（208类）残疾人事业（20811款）残疾人康复（2081104项）：指残疾人联合会用于残疾人康复方面的支出。</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10</w:t>
      </w:r>
      <w:r>
        <w:rPr>
          <w:rFonts w:hint="default" w:ascii="Times New Roman" w:hAnsi="Times New Roman" w:eastAsia="方正仿宋简体" w:cs="Times New Roman"/>
          <w:b/>
          <w:bCs/>
          <w:color w:val="333333"/>
          <w:sz w:val="32"/>
          <w:szCs w:val="32"/>
          <w:shd w:val="clear" w:color="auto" w:fill="FFFFFF"/>
        </w:rPr>
        <w:t>.社会保障和就业（208类）残疾人事业（20811款）残疾人就业和扶贫（2081105项）：指残疾人联合会用于残疾人就业和扶贫等方面的支出。</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11</w:t>
      </w:r>
      <w:r>
        <w:rPr>
          <w:rFonts w:hint="default" w:ascii="Times New Roman" w:hAnsi="Times New Roman" w:eastAsia="方正仿宋简体" w:cs="Times New Roman"/>
          <w:b/>
          <w:bCs/>
          <w:color w:val="333333"/>
          <w:sz w:val="32"/>
          <w:szCs w:val="32"/>
          <w:shd w:val="clear" w:color="auto" w:fill="FFFFFF"/>
        </w:rPr>
        <w:t>.社会保障和就业（208类）残疾人事业（20811款）残疾人生活和护理补贴（2081107项）：指困难残疾人生活补贴和重度残疾人护理补贴支出。</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12</w:t>
      </w:r>
      <w:r>
        <w:rPr>
          <w:rFonts w:hint="default" w:ascii="Times New Roman" w:hAnsi="Times New Roman" w:eastAsia="方正仿宋简体" w:cs="Times New Roman"/>
          <w:b/>
          <w:bCs/>
          <w:color w:val="333333"/>
          <w:sz w:val="32"/>
          <w:szCs w:val="32"/>
          <w:shd w:val="clear" w:color="auto" w:fill="FFFFFF"/>
        </w:rPr>
        <w:t xml:space="preserve">.社会保障和就业（208类）残疾人事业（20811款）其他残疾人事业支出（2081199项）：指除上述项目以外其他用于残疾人事业方面的支出。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13</w:t>
      </w:r>
      <w:r>
        <w:rPr>
          <w:rFonts w:hint="default" w:ascii="Times New Roman" w:hAnsi="Times New Roman" w:eastAsia="方正仿宋简体" w:cs="Times New Roman"/>
          <w:b/>
          <w:bCs/>
          <w:color w:val="333333"/>
          <w:sz w:val="32"/>
          <w:szCs w:val="32"/>
          <w:shd w:val="clear" w:color="auto" w:fill="FFFFFF"/>
        </w:rPr>
        <w:t xml:space="preserve">.社会保障和就业（208类）行政事业单位离退休（20805款）未归口管理的行政单位离退休（2080504项）：指未实行归口管理的行政单位（包括实行公务员管理的事业单位）开支的离退休支出。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14</w:t>
      </w:r>
      <w:r>
        <w:rPr>
          <w:rFonts w:hint="default" w:ascii="Times New Roman" w:hAnsi="Times New Roman" w:eastAsia="方正仿宋简体" w:cs="Times New Roman"/>
          <w:b/>
          <w:bCs/>
          <w:color w:val="333333"/>
          <w:sz w:val="32"/>
          <w:szCs w:val="32"/>
          <w:shd w:val="clear" w:color="auto" w:fill="FFFFFF"/>
        </w:rPr>
        <w:t xml:space="preserve">.社会保障和就业（208类）行政事业单位离退休（20805款）机关事业单位基本养老保险缴费支出（2080505项）：指部门实施养老保险制度由单位缴纳的基本养老保险费支出。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rPr>
        <w:t>1</w:t>
      </w:r>
      <w:r>
        <w:rPr>
          <w:rFonts w:hint="default" w:ascii="Times New Roman" w:hAnsi="Times New Roman" w:eastAsia="方正仿宋简体" w:cs="Times New Roman"/>
          <w:b/>
          <w:bCs/>
          <w:color w:val="333333"/>
          <w:sz w:val="32"/>
          <w:szCs w:val="32"/>
          <w:shd w:val="clear" w:color="auto" w:fill="FFFFFF"/>
          <w:lang w:val="en-US" w:eastAsia="zh-CN"/>
        </w:rPr>
        <w:t>5</w:t>
      </w:r>
      <w:r>
        <w:rPr>
          <w:rFonts w:hint="default" w:ascii="Times New Roman" w:hAnsi="Times New Roman" w:eastAsia="方正仿宋简体" w:cs="Times New Roman"/>
          <w:b/>
          <w:bCs/>
          <w:color w:val="333333"/>
          <w:sz w:val="32"/>
          <w:szCs w:val="32"/>
          <w:shd w:val="clear" w:color="auto" w:fill="FFFFFF"/>
        </w:rPr>
        <w:t xml:space="preserve">.卫生健康支出（210类）行政事业单位医疗（21011款）行政单位医疗（2101101项）：指财政部门集中安排的行政单位基本医疗保险缴费经费，未参加医疗保险的行政单位的公费医疗经费，按国家规定享受离休人员、红军老战士待遇人员的医疗经费。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rPr>
      </w:pPr>
      <w:r>
        <w:rPr>
          <w:rFonts w:hint="default" w:ascii="Times New Roman" w:hAnsi="Times New Roman" w:eastAsia="方正仿宋简体" w:cs="Times New Roman"/>
          <w:b/>
          <w:bCs/>
          <w:color w:val="333333"/>
          <w:sz w:val="32"/>
          <w:szCs w:val="32"/>
          <w:shd w:val="clear" w:color="auto" w:fill="FFFFFF"/>
        </w:rPr>
        <w:t>1</w:t>
      </w:r>
      <w:r>
        <w:rPr>
          <w:rFonts w:hint="default" w:ascii="Times New Roman" w:hAnsi="Times New Roman" w:eastAsia="方正仿宋简体" w:cs="Times New Roman"/>
          <w:b/>
          <w:bCs/>
          <w:color w:val="333333"/>
          <w:sz w:val="32"/>
          <w:szCs w:val="32"/>
          <w:shd w:val="clear" w:color="auto" w:fill="FFFFFF"/>
          <w:lang w:val="en-US" w:eastAsia="zh-CN"/>
        </w:rPr>
        <w:t>6</w:t>
      </w:r>
      <w:r>
        <w:rPr>
          <w:rFonts w:hint="default" w:ascii="Times New Roman" w:hAnsi="Times New Roman" w:eastAsia="方正仿宋简体" w:cs="Times New Roman"/>
          <w:b/>
          <w:bCs/>
          <w:color w:val="333333"/>
          <w:sz w:val="32"/>
          <w:szCs w:val="32"/>
          <w:shd w:val="clear" w:color="auto" w:fill="FFFFFF"/>
        </w:rPr>
        <w:t xml:space="preserve">.卫生健康支出（210类）行政事业单位医疗（21011款）公务员医疗补助（2101103项）：指财政部门集中安排的公务员医疗补助经费。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rPr>
        <w:t>1</w:t>
      </w:r>
      <w:r>
        <w:rPr>
          <w:rFonts w:hint="default" w:ascii="Times New Roman" w:hAnsi="Times New Roman" w:eastAsia="方正仿宋简体" w:cs="Times New Roman"/>
          <w:b/>
          <w:bCs/>
          <w:color w:val="333333"/>
          <w:sz w:val="32"/>
          <w:szCs w:val="32"/>
          <w:shd w:val="clear" w:color="auto" w:fill="FFFFFF"/>
          <w:lang w:val="en-US" w:eastAsia="zh-CN"/>
        </w:rPr>
        <w:t>7</w:t>
      </w:r>
      <w:r>
        <w:rPr>
          <w:rFonts w:hint="default" w:ascii="Times New Roman" w:hAnsi="Times New Roman" w:eastAsia="方正仿宋简体" w:cs="Times New Roman"/>
          <w:b/>
          <w:bCs/>
          <w:color w:val="333333"/>
          <w:sz w:val="32"/>
          <w:szCs w:val="32"/>
          <w:shd w:val="clear" w:color="auto" w:fill="FFFFFF"/>
        </w:rPr>
        <w:t>.卫生健康支出（210类）行政事业单位医疗（21011款）其他行政事业单位医疗支出（21011</w:t>
      </w:r>
      <w:r>
        <w:rPr>
          <w:rFonts w:hint="default" w:ascii="Times New Roman" w:hAnsi="Times New Roman" w:eastAsia="方正仿宋简体" w:cs="Times New Roman"/>
          <w:b/>
          <w:bCs/>
          <w:color w:val="333333"/>
          <w:sz w:val="32"/>
          <w:szCs w:val="32"/>
          <w:shd w:val="clear" w:color="auto" w:fill="FFFFFF"/>
          <w:lang w:val="en-US" w:eastAsia="zh-CN"/>
        </w:rPr>
        <w:t>99</w:t>
      </w:r>
      <w:r>
        <w:rPr>
          <w:rFonts w:hint="default" w:ascii="Times New Roman" w:hAnsi="Times New Roman" w:eastAsia="方正仿宋简体" w:cs="Times New Roman"/>
          <w:b/>
          <w:bCs/>
          <w:color w:val="333333"/>
          <w:sz w:val="32"/>
          <w:szCs w:val="32"/>
          <w:shd w:val="clear" w:color="auto" w:fill="FFFFFF"/>
        </w:rPr>
        <w:t>项）：指财政部门集中安排的</w:t>
      </w:r>
      <w:r>
        <w:rPr>
          <w:rFonts w:hint="default" w:ascii="Times New Roman" w:hAnsi="Times New Roman" w:eastAsia="方正仿宋简体" w:cs="Times New Roman"/>
          <w:b/>
          <w:bCs/>
          <w:color w:val="333333"/>
          <w:sz w:val="32"/>
          <w:szCs w:val="32"/>
          <w:shd w:val="clear" w:color="auto" w:fill="FFFFFF"/>
          <w:lang w:eastAsia="zh-CN"/>
        </w:rPr>
        <w:t>其他行政事业单位医疗补助</w:t>
      </w:r>
      <w:r>
        <w:rPr>
          <w:rFonts w:hint="default" w:ascii="Times New Roman" w:hAnsi="Times New Roman" w:eastAsia="方正仿宋简体" w:cs="Times New Roman"/>
          <w:b/>
          <w:bCs/>
          <w:color w:val="333333"/>
          <w:sz w:val="32"/>
          <w:szCs w:val="32"/>
          <w:shd w:val="clear" w:color="auto" w:fill="FFFFFF"/>
        </w:rPr>
        <w:t xml:space="preserve">经费。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rPr>
        <w:t>1</w:t>
      </w:r>
      <w:r>
        <w:rPr>
          <w:rFonts w:hint="default" w:ascii="Times New Roman" w:hAnsi="Times New Roman" w:eastAsia="方正仿宋简体" w:cs="Times New Roman"/>
          <w:b/>
          <w:bCs/>
          <w:color w:val="333333"/>
          <w:sz w:val="32"/>
          <w:szCs w:val="32"/>
          <w:shd w:val="clear" w:color="auto" w:fill="FFFFFF"/>
          <w:lang w:val="en-US" w:eastAsia="zh-CN"/>
        </w:rPr>
        <w:t>8</w:t>
      </w:r>
      <w:r>
        <w:rPr>
          <w:rFonts w:hint="default" w:ascii="Times New Roman" w:hAnsi="Times New Roman" w:eastAsia="方正仿宋简体" w:cs="Times New Roman"/>
          <w:b/>
          <w:bCs/>
          <w:color w:val="333333"/>
          <w:sz w:val="32"/>
          <w:szCs w:val="32"/>
          <w:shd w:val="clear" w:color="auto" w:fill="FFFFFF"/>
        </w:rPr>
        <w:t xml:space="preserve">.住房保障支出（221类）住房改革支出（22102款）住房公积金（2210201项）：指行政事业单位按照《住房公积金管理条例》的规定为职工缴纳的住房公积金。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rPr>
        <w:t>1</w:t>
      </w:r>
      <w:r>
        <w:rPr>
          <w:rFonts w:hint="default" w:ascii="Times New Roman" w:hAnsi="Times New Roman" w:eastAsia="方正仿宋简体" w:cs="Times New Roman"/>
          <w:b/>
          <w:bCs/>
          <w:color w:val="333333"/>
          <w:sz w:val="32"/>
          <w:szCs w:val="32"/>
          <w:shd w:val="clear" w:color="auto" w:fill="FFFFFF"/>
          <w:lang w:val="en-US" w:eastAsia="zh-CN"/>
        </w:rPr>
        <w:t>9</w:t>
      </w:r>
      <w:r>
        <w:rPr>
          <w:rFonts w:hint="default" w:ascii="Times New Roman" w:hAnsi="Times New Roman" w:eastAsia="方正仿宋简体" w:cs="Times New Roman"/>
          <w:b/>
          <w:bCs/>
          <w:color w:val="333333"/>
          <w:sz w:val="32"/>
          <w:szCs w:val="32"/>
          <w:shd w:val="clear" w:color="auto" w:fill="FFFFFF"/>
        </w:rPr>
        <w:t>.住房保障支出（221类）住房改革支出（22102款）购房补贴（2210203项）：指按房改政策规定，行政事业单位向符合条件职工（含离退休人员）、军队（含武警）向转役复员离退休人员发放的用于购买住房的补贴。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20</w:t>
      </w:r>
      <w:r>
        <w:rPr>
          <w:rFonts w:hint="default" w:ascii="Times New Roman" w:hAnsi="Times New Roman" w:eastAsia="方正仿宋简体" w:cs="Times New Roman"/>
          <w:b/>
          <w:bCs/>
          <w:color w:val="333333"/>
          <w:sz w:val="32"/>
          <w:szCs w:val="32"/>
          <w:shd w:val="clear" w:color="auto" w:fill="FFFFFF"/>
        </w:rPr>
        <w:t xml:space="preserve">.基本支出：指为保证机构正常运转，完成日常工作任务而发生的人员支出和公用支出。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21</w:t>
      </w:r>
      <w:r>
        <w:rPr>
          <w:rFonts w:hint="default" w:ascii="Times New Roman" w:hAnsi="Times New Roman" w:eastAsia="方正仿宋简体" w:cs="Times New Roman"/>
          <w:b/>
          <w:bCs/>
          <w:color w:val="333333"/>
          <w:sz w:val="32"/>
          <w:szCs w:val="32"/>
          <w:shd w:val="clear" w:color="auto" w:fill="FFFFFF"/>
        </w:rPr>
        <w:t xml:space="preserve">.项目支出：指在基本支出之外为完成特定行政任务和事业发展目标所发生的支出。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22</w:t>
      </w:r>
      <w:r>
        <w:rPr>
          <w:rFonts w:hint="default" w:ascii="Times New Roman" w:hAnsi="Times New Roman" w:eastAsia="方正仿宋简体" w:cs="Times New Roman"/>
          <w:b/>
          <w:bCs/>
          <w:color w:val="333333"/>
          <w:sz w:val="32"/>
          <w:szCs w:val="32"/>
          <w:shd w:val="clear" w:color="auto" w:fill="FFFFFF"/>
        </w:rPr>
        <w:t xml:space="preserve">.经营支出：指事业单位在专业业务活动及其辅助活动之外开展非独立核算经营活动发生的支出。 </w:t>
      </w:r>
    </w:p>
    <w:p>
      <w:pPr>
        <w:pStyle w:val="30"/>
        <w:keepNext w:val="0"/>
        <w:keepLines w:val="0"/>
        <w:pageBreakBefore w:val="0"/>
        <w:kinsoku/>
        <w:wordWrap/>
        <w:overflowPunct/>
        <w:topLinePunct w:val="0"/>
        <w:bidi w:val="0"/>
        <w:snapToGrid/>
        <w:spacing w:beforeAutospacing="0" w:afterAutospacing="0" w:line="600" w:lineRule="exact"/>
        <w:ind w:firstLine="643" w:firstLineChars="200"/>
        <w:textAlignment w:val="auto"/>
        <w:rPr>
          <w:rFonts w:hint="default" w:ascii="Times New Roman" w:hAnsi="Times New Roman" w:eastAsia="方正仿宋简体" w:cs="Times New Roman"/>
          <w:b/>
          <w:bCs/>
          <w:color w:val="333333"/>
          <w:sz w:val="32"/>
          <w:szCs w:val="32"/>
          <w:shd w:val="clear" w:color="auto" w:fill="FFFFFF"/>
          <w:lang w:eastAsia="zh-CN"/>
        </w:rPr>
      </w:pPr>
      <w:r>
        <w:rPr>
          <w:rFonts w:hint="default" w:ascii="Times New Roman" w:hAnsi="Times New Roman" w:eastAsia="方正仿宋简体" w:cs="Times New Roman"/>
          <w:b/>
          <w:bCs/>
          <w:color w:val="333333"/>
          <w:sz w:val="32"/>
          <w:szCs w:val="32"/>
          <w:shd w:val="clear" w:color="auto" w:fill="FFFFFF"/>
          <w:lang w:val="en-US" w:eastAsia="zh-CN"/>
        </w:rPr>
        <w:t>23</w:t>
      </w:r>
      <w:r>
        <w:rPr>
          <w:rFonts w:hint="default" w:ascii="Times New Roman" w:hAnsi="Times New Roman" w:eastAsia="方正仿宋简体" w:cs="Times New Roman"/>
          <w:b/>
          <w:bCs/>
          <w:color w:val="333333"/>
          <w:sz w:val="32"/>
          <w:szCs w:val="32"/>
          <w:shd w:val="clear" w:color="auto" w:fill="FFFFFF"/>
        </w:rPr>
        <w:t xml:space="preserve">.“三公”经费：纳入市级财政预决算管理的“三公”经费，是指部门用财政拨款安排的因公出国（境）费、公务用车购置及运行费和公务接待费。其中，因公出国（境）费指单位公务出国（境）的国际旅费、国外城市间交通费、住宿费、伙食费、培训费、公杂费等支出；公务用车购置及运行费指单位公务用车车辆购置支出（含车辆购置税）及租用费、燃料费、维修费、过路过桥费、保险费、安全奖励费用等支出；公务接待费指单位按规定开支的各类公务接待（含外宾接待）支出。 </w:t>
      </w:r>
    </w:p>
    <w:p>
      <w:pPr>
        <w:pStyle w:val="30"/>
        <w:keepNext w:val="0"/>
        <w:keepLines w:val="0"/>
        <w:pageBreakBefore w:val="0"/>
        <w:kinsoku/>
        <w:wordWrap/>
        <w:overflowPunct/>
        <w:topLinePunct w:val="0"/>
        <w:bidi w:val="0"/>
        <w:snapToGrid/>
        <w:spacing w:beforeAutospacing="0" w:afterAutospacing="0" w:line="600" w:lineRule="exact"/>
        <w:ind w:firstLine="643" w:firstLineChars="200"/>
        <w:jc w:val="center"/>
        <w:textAlignment w:val="auto"/>
        <w:rPr>
          <w:rStyle w:val="32"/>
          <w:rFonts w:hint="default" w:ascii="Times New Roman" w:hAnsi="Times New Roman" w:eastAsia="黑体" w:cs="Times New Roman"/>
          <w:b/>
          <w:bCs/>
          <w:color w:val="auto"/>
          <w:highlight w:val="none"/>
          <w:lang w:eastAsia="zh-CN"/>
        </w:rPr>
      </w:pPr>
      <w:r>
        <w:rPr>
          <w:rFonts w:hint="default" w:ascii="Times New Roman" w:hAnsi="Times New Roman" w:eastAsia="方正仿宋简体" w:cs="Times New Roman"/>
          <w:b/>
          <w:bCs/>
          <w:color w:val="333333"/>
          <w:sz w:val="32"/>
          <w:szCs w:val="32"/>
          <w:shd w:val="clear" w:color="auto" w:fill="FFFFFF"/>
          <w:lang w:val="en-US" w:eastAsia="zh-CN"/>
        </w:rPr>
        <w:t>24</w:t>
      </w:r>
      <w:r>
        <w:rPr>
          <w:rFonts w:hint="default" w:ascii="Times New Roman" w:hAnsi="Times New Roman" w:eastAsia="方正仿宋简体" w:cs="Times New Roman"/>
          <w:b/>
          <w:bCs/>
          <w:color w:val="333333"/>
          <w:sz w:val="32"/>
          <w:szCs w:val="32"/>
          <w:shd w:val="clear" w:color="auto" w:fill="FFFFFF"/>
        </w:rPr>
        <w:t>.机关运行经费：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Start w:id="55" w:name="_Toc15377226"/>
      <w:r>
        <w:rPr>
          <w:rFonts w:hint="default" w:ascii="Times New Roman" w:hAnsi="Times New Roman" w:eastAsia="方正仿宋简体" w:cs="Times New Roman"/>
          <w:b/>
          <w:bCs/>
          <w:color w:val="auto"/>
          <w:kern w:val="2"/>
          <w:sz w:val="32"/>
          <w:szCs w:val="32"/>
          <w:highlight w:val="none"/>
          <w:lang w:val="en-US" w:eastAsia="zh-CN" w:bidi="ar-SA"/>
        </w:rPr>
        <w:br w:type="page"/>
      </w:r>
      <w:bookmarkStart w:id="56" w:name="_Toc15396614"/>
      <w:r>
        <w:rPr>
          <w:rFonts w:hint="default" w:ascii="Times New Roman" w:hAnsi="Times New Roman" w:eastAsia="黑体" w:cs="Times New Roman"/>
          <w:b/>
          <w:bCs/>
          <w:color w:val="auto"/>
          <w:sz w:val="44"/>
          <w:szCs w:val="44"/>
          <w:highlight w:val="none"/>
        </w:rPr>
        <w:t>第四部分</w:t>
      </w:r>
      <w:r>
        <w:rPr>
          <w:rFonts w:hint="default" w:ascii="Times New Roman" w:hAnsi="Times New Roman" w:eastAsia="黑体" w:cs="Times New Roman"/>
          <w:b/>
          <w:bCs/>
          <w:color w:val="auto"/>
          <w:sz w:val="44"/>
          <w:szCs w:val="44"/>
          <w:highlight w:val="none"/>
          <w:lang w:val="en-US" w:eastAsia="zh-CN"/>
        </w:rPr>
        <w:t xml:space="preserve"> </w:t>
      </w:r>
      <w:r>
        <w:rPr>
          <w:rFonts w:hint="default" w:ascii="Times New Roman" w:hAnsi="Times New Roman" w:eastAsia="黑体" w:cs="Times New Roman"/>
          <w:b/>
          <w:bCs/>
          <w:color w:val="auto"/>
          <w:sz w:val="44"/>
          <w:szCs w:val="44"/>
          <w:highlight w:val="none"/>
        </w:rPr>
        <w:t xml:space="preserve"> 附件</w:t>
      </w:r>
      <w:bookmarkEnd w:id="56"/>
    </w:p>
    <w:p>
      <w:pPr>
        <w:keepNext w:val="0"/>
        <w:keepLines w:val="0"/>
        <w:pageBreakBefore w:val="0"/>
        <w:kinsoku/>
        <w:wordWrap/>
        <w:overflowPunct/>
        <w:topLinePunct w:val="0"/>
        <w:autoSpaceDE/>
        <w:autoSpaceDN/>
        <w:bidi w:val="0"/>
        <w:spacing w:line="572" w:lineRule="exact"/>
        <w:jc w:val="left"/>
        <w:textAlignment w:val="auto"/>
        <w:outlineLvl w:val="0"/>
        <w:rPr>
          <w:rFonts w:hint="default" w:ascii="Times New Roman" w:hAnsi="Times New Roman" w:eastAsia="黑体" w:cs="Times New Roman"/>
          <w:b/>
          <w:bCs/>
          <w:color w:val="FF0000"/>
          <w:sz w:val="32"/>
          <w:szCs w:val="32"/>
          <w:highlight w:val="none"/>
        </w:rPr>
      </w:pPr>
    </w:p>
    <w:p>
      <w:pPr>
        <w:keepNext w:val="0"/>
        <w:keepLines w:val="0"/>
        <w:pageBreakBefore w:val="0"/>
        <w:kinsoku/>
        <w:wordWrap/>
        <w:overflowPunct/>
        <w:topLinePunct w:val="0"/>
        <w:autoSpaceDE/>
        <w:autoSpaceDN/>
        <w:bidi w:val="0"/>
        <w:spacing w:line="572" w:lineRule="exact"/>
        <w:jc w:val="left"/>
        <w:textAlignment w:val="auto"/>
        <w:outlineLvl w:val="0"/>
        <w:rPr>
          <w:rFonts w:hint="default" w:ascii="Times New Roman" w:hAnsi="Times New Roman" w:eastAsia="黑体" w:cs="Times New Roman"/>
          <w:b/>
          <w:bCs/>
          <w:color w:val="auto"/>
          <w:sz w:val="44"/>
          <w:szCs w:val="44"/>
          <w:highlight w:val="none"/>
          <w:lang w:val="en-US" w:eastAsia="zh-CN"/>
        </w:rPr>
      </w:pPr>
      <w:r>
        <w:rPr>
          <w:rFonts w:hint="default" w:ascii="Times New Roman" w:hAnsi="Times New Roman" w:eastAsia="黑体" w:cs="Times New Roman"/>
          <w:b/>
          <w:bCs/>
          <w:color w:val="auto"/>
          <w:sz w:val="32"/>
          <w:szCs w:val="32"/>
          <w:highlight w:val="none"/>
        </w:rPr>
        <w:t>附件</w:t>
      </w:r>
      <w:r>
        <w:rPr>
          <w:rFonts w:hint="default" w:ascii="Times New Roman" w:hAnsi="Times New Roman" w:eastAsia="黑体" w:cs="Times New Roman"/>
          <w:b/>
          <w:bCs/>
          <w:color w:val="auto"/>
          <w:sz w:val="32"/>
          <w:szCs w:val="32"/>
          <w:highlight w:val="none"/>
          <w:lang w:val="en-US" w:eastAsia="zh-CN"/>
        </w:rPr>
        <w:t>1</w:t>
      </w:r>
    </w:p>
    <w:p>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bCs/>
          <w:sz w:val="44"/>
          <w:szCs w:val="44"/>
          <w:highlight w:val="none"/>
          <w:shd w:val="clear" w:color="auto" w:fill="FFFFFF"/>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小标宋简体" w:cs="Times New Roman"/>
          <w:b/>
          <w:bCs/>
          <w:sz w:val="44"/>
          <w:szCs w:val="44"/>
          <w:lang w:eastAsia="zh-CN"/>
        </w:rPr>
      </w:pPr>
      <w:r>
        <w:rPr>
          <w:rFonts w:hint="default" w:ascii="Times New Roman" w:hAnsi="Times New Roman" w:eastAsia="方正小标宋简体" w:cs="Times New Roman"/>
          <w:b/>
          <w:bCs/>
          <w:sz w:val="44"/>
          <w:szCs w:val="44"/>
          <w:lang w:eastAsia="zh-CN"/>
        </w:rPr>
        <w:t>泸州市残疾人联合会</w:t>
      </w:r>
    </w:p>
    <w:p>
      <w:pPr>
        <w:keepNext w:val="0"/>
        <w:keepLines w:val="0"/>
        <w:pageBreakBefore w:val="0"/>
        <w:widowControl w:val="0"/>
        <w:kinsoku/>
        <w:wordWrap/>
        <w:overflowPunct/>
        <w:topLinePunct w:val="0"/>
        <w:autoSpaceDE/>
        <w:autoSpaceDN/>
        <w:bidi w:val="0"/>
        <w:spacing w:line="600" w:lineRule="exact"/>
        <w:ind w:left="0" w:right="0"/>
        <w:contextualSpacing/>
        <w:jc w:val="center"/>
        <w:textAlignment w:val="auto"/>
        <w:rPr>
          <w:rFonts w:hint="default" w:ascii="Times New Roman" w:hAnsi="Times New Roman" w:eastAsia="方正小标宋简体" w:cs="Times New Roman"/>
          <w:b/>
          <w:bCs/>
          <w:color w:val="auto"/>
          <w:sz w:val="44"/>
          <w:szCs w:val="44"/>
          <w:highlight w:val="none"/>
          <w:shd w:val="clear" w:color="auto" w:fill="FFFFFF"/>
        </w:rPr>
      </w:pPr>
      <w:r>
        <w:rPr>
          <w:rFonts w:hint="default" w:ascii="Times New Roman" w:hAnsi="Times New Roman" w:eastAsia="方正小标宋简体" w:cs="Times New Roman"/>
          <w:b/>
          <w:bCs/>
          <w:color w:val="auto"/>
          <w:sz w:val="44"/>
          <w:szCs w:val="44"/>
          <w:highlight w:val="none"/>
          <w:shd w:val="clear" w:color="auto" w:fill="FFFFFF"/>
          <w:lang w:val="en-US" w:eastAsia="zh-CN"/>
        </w:rPr>
        <w:t>2024年度</w:t>
      </w:r>
      <w:r>
        <w:rPr>
          <w:rFonts w:hint="default" w:ascii="Times New Roman" w:hAnsi="Times New Roman" w:eastAsia="方正小标宋简体" w:cs="Times New Roman"/>
          <w:b/>
          <w:bCs/>
          <w:color w:val="auto"/>
          <w:sz w:val="44"/>
          <w:szCs w:val="44"/>
          <w:highlight w:val="none"/>
          <w:shd w:val="clear" w:color="auto" w:fill="FFFFFF"/>
        </w:rPr>
        <w:t>部门</w:t>
      </w:r>
      <w:r>
        <w:rPr>
          <w:rFonts w:hint="default" w:ascii="Times New Roman" w:hAnsi="Times New Roman" w:eastAsia="方正小标宋简体" w:cs="Times New Roman"/>
          <w:b/>
          <w:bCs/>
          <w:color w:val="auto"/>
          <w:sz w:val="44"/>
          <w:szCs w:val="44"/>
          <w:highlight w:val="none"/>
          <w:shd w:val="clear" w:color="auto" w:fill="FFFFFF"/>
          <w:lang w:val="en-US" w:eastAsia="zh-CN"/>
        </w:rPr>
        <w:t>预算</w:t>
      </w:r>
      <w:r>
        <w:rPr>
          <w:rFonts w:hint="default" w:ascii="Times New Roman" w:hAnsi="Times New Roman" w:eastAsia="方正小标宋简体" w:cs="Times New Roman"/>
          <w:b/>
          <w:bCs/>
          <w:color w:val="auto"/>
          <w:sz w:val="44"/>
          <w:szCs w:val="44"/>
          <w:highlight w:val="none"/>
          <w:shd w:val="clear" w:color="auto" w:fill="FFFFFF"/>
          <w:lang w:eastAsia="zh-CN"/>
        </w:rPr>
        <w:t>绩效自评报告</w:t>
      </w:r>
    </w:p>
    <w:p>
      <w:pPr>
        <w:keepNext w:val="0"/>
        <w:keepLines w:val="0"/>
        <w:pageBreakBefore w:val="0"/>
        <w:widowControl w:val="0"/>
        <w:kinsoku/>
        <w:wordWrap/>
        <w:overflowPunct/>
        <w:topLinePunct w:val="0"/>
        <w:autoSpaceDE/>
        <w:autoSpaceDN/>
        <w:bidi w:val="0"/>
        <w:adjustRightInd w:val="0"/>
        <w:snapToGrid w:val="0"/>
        <w:spacing w:line="600" w:lineRule="exact"/>
        <w:ind w:left="0" w:right="0" w:firstLine="482" w:firstLineChars="200"/>
        <w:contextualSpacing/>
        <w:jc w:val="left"/>
        <w:textAlignment w:val="auto"/>
        <w:rPr>
          <w:rFonts w:hint="default" w:ascii="Times New Roman" w:hAnsi="Times New Roman" w:eastAsia="黑体" w:cs="Times New Roman"/>
          <w:b/>
          <w:bCs/>
          <w:color w:val="auto"/>
          <w:kern w:val="0"/>
          <w:sz w:val="24"/>
          <w:szCs w:val="32"/>
          <w:highlight w:val="none"/>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right="0" w:rightChars="0" w:firstLine="643" w:firstLineChars="200"/>
        <w:contextualSpacing/>
        <w:jc w:val="both"/>
        <w:textAlignment w:val="auto"/>
        <w:rPr>
          <w:rFonts w:hint="default" w:ascii="Times New Roman" w:hAnsi="Times New Roman" w:eastAsia="黑体" w:cs="Times New Roman"/>
          <w:b/>
          <w:bCs/>
          <w:color w:val="auto"/>
          <w:kern w:val="0"/>
          <w:sz w:val="32"/>
          <w:szCs w:val="32"/>
          <w:highlight w:val="none"/>
          <w:shd w:val="clear" w:color="auto" w:fill="FFFFFF"/>
          <w:lang w:val="zh-CN"/>
        </w:rPr>
      </w:pPr>
      <w:r>
        <w:rPr>
          <w:rFonts w:hint="default" w:ascii="Times New Roman" w:hAnsi="Times New Roman" w:eastAsia="黑体" w:cs="Times New Roman"/>
          <w:b/>
          <w:bCs/>
          <w:color w:val="auto"/>
          <w:kern w:val="0"/>
          <w:sz w:val="32"/>
          <w:szCs w:val="32"/>
          <w:highlight w:val="none"/>
          <w:shd w:val="clear" w:fill="FFFFFF"/>
          <w:lang w:val="zh-CN" w:eastAsia="zh-CN" w:bidi="ar-SA"/>
        </w:rPr>
        <w:t>一、</w:t>
      </w:r>
      <w:r>
        <w:rPr>
          <w:rFonts w:hint="default" w:ascii="Times New Roman" w:hAnsi="Times New Roman" w:eastAsia="黑体" w:cs="Times New Roman"/>
          <w:b/>
          <w:bCs/>
          <w:color w:val="auto"/>
          <w:kern w:val="0"/>
          <w:sz w:val="32"/>
          <w:szCs w:val="32"/>
          <w:highlight w:val="none"/>
          <w:shd w:val="clear" w:color="auto" w:fill="FFFFFF"/>
          <w:lang w:val="zh-CN"/>
        </w:rPr>
        <w:t>部门（单位）基本情况</w:t>
      </w:r>
    </w:p>
    <w:p>
      <w:pPr>
        <w:pStyle w:val="4"/>
        <w:keepNext w:val="0"/>
        <w:keepLines w:val="0"/>
        <w:pageBreakBefore w:val="0"/>
        <w:widowControl w:val="0"/>
        <w:numPr>
          <w:ilvl w:val="0"/>
          <w:numId w:val="0"/>
        </w:numPr>
        <w:kinsoku/>
        <w:wordWrap/>
        <w:overflowPunct/>
        <w:topLinePunct w:val="0"/>
        <w:autoSpaceDE/>
        <w:autoSpaceDN/>
        <w:bidi w:val="0"/>
        <w:spacing w:before="0" w:beforeAutospacing="0" w:after="0" w:afterAutospacing="0" w:line="576" w:lineRule="exact"/>
        <w:ind w:left="0" w:leftChars="0" w:firstLine="643" w:firstLineChars="200"/>
        <w:jc w:val="both"/>
        <w:textAlignment w:val="auto"/>
        <w:rPr>
          <w:rFonts w:hint="default" w:ascii="Times New Roman" w:hAnsi="Times New Roman" w:eastAsia="方正楷体简体" w:cs="Times New Roman"/>
          <w:b/>
          <w:bCs/>
          <w:color w:val="000000"/>
          <w:kern w:val="0"/>
          <w:sz w:val="32"/>
          <w:szCs w:val="32"/>
          <w:highlight w:val="none"/>
          <w:lang w:val="zh-CN" w:eastAsia="zh-CN" w:bidi="ar"/>
        </w:rPr>
      </w:pPr>
      <w:r>
        <w:rPr>
          <w:rFonts w:hint="default" w:ascii="Times New Roman" w:hAnsi="Times New Roman" w:eastAsia="方正楷体简体" w:cs="Times New Roman"/>
          <w:b/>
          <w:bCs/>
          <w:color w:val="000000"/>
          <w:kern w:val="0"/>
          <w:sz w:val="32"/>
          <w:szCs w:val="32"/>
          <w:highlight w:val="none"/>
          <w:lang w:val="zh-CN" w:eastAsia="zh-CN" w:bidi="ar"/>
        </w:rPr>
        <w:t>（一）机构组成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zh-CN"/>
        </w:rPr>
        <w:t>泸州市残疾人联合会为正县级群团机关单位，内设办公室、康复教育就业科、组织宣传发展科（政策法规科）。下属事业单位2个：市残疾人康复服务中心（挂市残疾人辅具器具服务中心牌子）、市残疾人劳动就业服务所（挂市残疾人托养服务中心牌子）。</w:t>
      </w:r>
    </w:p>
    <w:p>
      <w:pPr>
        <w:pStyle w:val="4"/>
        <w:keepNext w:val="0"/>
        <w:keepLines w:val="0"/>
        <w:pageBreakBefore w:val="0"/>
        <w:widowControl w:val="0"/>
        <w:numPr>
          <w:ilvl w:val="0"/>
          <w:numId w:val="0"/>
        </w:numPr>
        <w:kinsoku/>
        <w:wordWrap/>
        <w:overflowPunct/>
        <w:topLinePunct w:val="0"/>
        <w:autoSpaceDE/>
        <w:autoSpaceDN/>
        <w:bidi w:val="0"/>
        <w:spacing w:before="0" w:beforeAutospacing="0" w:after="0" w:afterAutospacing="0" w:line="576" w:lineRule="exact"/>
        <w:ind w:left="0" w:leftChars="0" w:firstLine="643" w:firstLineChars="200"/>
        <w:jc w:val="both"/>
        <w:textAlignment w:val="auto"/>
        <w:rPr>
          <w:rFonts w:hint="default" w:ascii="Times New Roman" w:hAnsi="Times New Roman" w:eastAsia="方正楷体简体" w:cs="Times New Roman"/>
          <w:b/>
          <w:bCs/>
          <w:color w:val="000000"/>
          <w:kern w:val="0"/>
          <w:sz w:val="32"/>
          <w:szCs w:val="32"/>
          <w:highlight w:val="none"/>
          <w:lang w:val="zh-CN" w:eastAsia="zh-CN" w:bidi="ar"/>
        </w:rPr>
      </w:pPr>
      <w:r>
        <w:rPr>
          <w:rFonts w:hint="default" w:ascii="Times New Roman" w:hAnsi="Times New Roman" w:eastAsia="方正楷体简体" w:cs="Times New Roman"/>
          <w:b/>
          <w:bCs/>
          <w:color w:val="000000"/>
          <w:kern w:val="0"/>
          <w:sz w:val="32"/>
          <w:szCs w:val="32"/>
          <w:highlight w:val="none"/>
          <w:lang w:val="zh-CN" w:eastAsia="zh-CN" w:bidi="ar"/>
        </w:rPr>
        <w:t>（二）机构职能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1.</w:t>
      </w:r>
      <w:r>
        <w:rPr>
          <w:rFonts w:hint="default" w:ascii="Times New Roman" w:hAnsi="Times New Roman" w:eastAsia="方正仿宋简体" w:cs="Times New Roman"/>
          <w:b/>
          <w:bCs/>
          <w:color w:val="auto"/>
          <w:kern w:val="0"/>
          <w:sz w:val="32"/>
          <w:szCs w:val="32"/>
          <w:highlight w:val="none"/>
          <w:shd w:val="clear" w:color="auto" w:fill="FFFFFF"/>
          <w:lang w:val="zh-CN"/>
        </w:rPr>
        <w:t>履行“代表、服务、管理”三大职能，代表残疾人共同利益，向政府及有关方面反映残疾人的意见和需求，维护残疾人的合法权益，为残疾人服务。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w:t>
      </w:r>
      <w:r>
        <w:rPr>
          <w:rFonts w:hint="default" w:ascii="Times New Roman" w:hAnsi="Times New Roman" w:eastAsia="方正仿宋简体" w:cs="Times New Roman"/>
          <w:b/>
          <w:bCs/>
          <w:color w:val="auto"/>
          <w:kern w:val="0"/>
          <w:sz w:val="32"/>
          <w:szCs w:val="32"/>
          <w:highlight w:val="none"/>
          <w:shd w:val="clear" w:color="auto" w:fill="FFFFFF"/>
          <w:lang w:val="zh-CN"/>
        </w:rPr>
        <w:t>团结、教育残疾人遵守法律，履行应尽的义务，发扬乐观进取精神，自尊、自信、自强、自立，为社会主义建设贡献力量。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3.</w:t>
      </w:r>
      <w:r>
        <w:rPr>
          <w:rFonts w:hint="default" w:ascii="Times New Roman" w:hAnsi="Times New Roman" w:eastAsia="方正仿宋简体" w:cs="Times New Roman"/>
          <w:b/>
          <w:bCs/>
          <w:color w:val="auto"/>
          <w:kern w:val="0"/>
          <w:sz w:val="32"/>
          <w:szCs w:val="32"/>
          <w:highlight w:val="none"/>
          <w:shd w:val="clear" w:color="auto" w:fill="FFFFFF"/>
          <w:lang w:val="zh-CN"/>
        </w:rPr>
        <w:t>弘扬人道主义，宣传残疾人事业，沟通政府、社会与残疾人之间的关系，动员社会理解、尊重、关心、帮助残疾人，支持残疾人事业。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4.</w:t>
      </w:r>
      <w:r>
        <w:rPr>
          <w:rFonts w:hint="default" w:ascii="Times New Roman" w:hAnsi="Times New Roman" w:eastAsia="方正仿宋简体" w:cs="Times New Roman"/>
          <w:b/>
          <w:bCs/>
          <w:color w:val="auto"/>
          <w:kern w:val="0"/>
          <w:sz w:val="32"/>
          <w:szCs w:val="32"/>
          <w:highlight w:val="none"/>
          <w:shd w:val="clear" w:color="auto" w:fill="FFFFFF"/>
          <w:lang w:val="zh-CN"/>
        </w:rPr>
        <w:t>开展残疾人康复、扶贫、教育、劳动就业、职业培训、文化、教育、用品供应、福利、残情鉴定、社会服务、依法推进无障碍建设和残疾预防工作，创造良好的社会环境和条件，扶助残疾人平等参与社会生活。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5.</w:t>
      </w:r>
      <w:r>
        <w:rPr>
          <w:rFonts w:hint="default" w:ascii="Times New Roman" w:hAnsi="Times New Roman" w:eastAsia="方正仿宋简体" w:cs="Times New Roman"/>
          <w:b/>
          <w:bCs/>
          <w:color w:val="auto"/>
          <w:kern w:val="0"/>
          <w:sz w:val="32"/>
          <w:szCs w:val="32"/>
          <w:highlight w:val="none"/>
          <w:shd w:val="clear" w:color="auto" w:fill="FFFFFF"/>
          <w:lang w:val="zh-CN"/>
        </w:rPr>
        <w:t>做好残联干部管理工作，对全市残疾人工作者进行培训。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6.</w:t>
      </w:r>
      <w:r>
        <w:rPr>
          <w:rFonts w:hint="default" w:ascii="Times New Roman" w:hAnsi="Times New Roman" w:eastAsia="方正仿宋简体" w:cs="Times New Roman"/>
          <w:b/>
          <w:bCs/>
          <w:color w:val="auto"/>
          <w:kern w:val="0"/>
          <w:sz w:val="32"/>
          <w:szCs w:val="32"/>
          <w:highlight w:val="none"/>
          <w:shd w:val="clear" w:color="auto" w:fill="FFFFFF"/>
          <w:lang w:val="zh-CN"/>
        </w:rPr>
        <w:t>承担市人民政府残疾人工作委员会的日常工作，做好综合、组织、协调和服务，协助政府研究、制定和实施残疾人事业政策、规划和计划。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7.</w:t>
      </w:r>
      <w:r>
        <w:rPr>
          <w:rFonts w:hint="default" w:ascii="Times New Roman" w:hAnsi="Times New Roman" w:eastAsia="方正仿宋简体" w:cs="Times New Roman"/>
          <w:b/>
          <w:bCs/>
          <w:color w:val="auto"/>
          <w:kern w:val="0"/>
          <w:sz w:val="32"/>
          <w:szCs w:val="32"/>
          <w:highlight w:val="none"/>
          <w:shd w:val="clear" w:color="auto" w:fill="FFFFFF"/>
          <w:lang w:val="zh-CN"/>
        </w:rPr>
        <w:t>开展残疾人事业的对外交流与合作，承办市委、市政府和省残联交办的其他工作。</w:t>
      </w:r>
    </w:p>
    <w:p>
      <w:pPr>
        <w:pStyle w:val="4"/>
        <w:keepNext w:val="0"/>
        <w:keepLines w:val="0"/>
        <w:pageBreakBefore w:val="0"/>
        <w:widowControl w:val="0"/>
        <w:numPr>
          <w:ilvl w:val="0"/>
          <w:numId w:val="0"/>
        </w:numPr>
        <w:kinsoku/>
        <w:wordWrap/>
        <w:overflowPunct/>
        <w:topLinePunct w:val="0"/>
        <w:autoSpaceDE/>
        <w:autoSpaceDN/>
        <w:bidi w:val="0"/>
        <w:spacing w:before="0" w:beforeAutospacing="0" w:after="0" w:afterAutospacing="0" w:line="576" w:lineRule="exact"/>
        <w:ind w:left="0" w:leftChars="0" w:firstLine="643" w:firstLineChars="200"/>
        <w:jc w:val="both"/>
        <w:textAlignment w:val="auto"/>
        <w:rPr>
          <w:rFonts w:hint="default" w:ascii="Times New Roman" w:hAnsi="Times New Roman" w:eastAsia="方正楷体简体" w:cs="Times New Roman"/>
          <w:b/>
          <w:bCs/>
          <w:color w:val="000000"/>
          <w:kern w:val="0"/>
          <w:sz w:val="32"/>
          <w:szCs w:val="32"/>
          <w:highlight w:val="none"/>
          <w:lang w:val="zh-CN" w:eastAsia="zh-CN" w:bidi="ar"/>
        </w:rPr>
      </w:pPr>
      <w:r>
        <w:rPr>
          <w:rFonts w:hint="default" w:ascii="Times New Roman" w:hAnsi="Times New Roman" w:eastAsia="方正楷体简体" w:cs="Times New Roman"/>
          <w:b/>
          <w:bCs/>
          <w:color w:val="000000"/>
          <w:kern w:val="0"/>
          <w:sz w:val="32"/>
          <w:szCs w:val="32"/>
          <w:highlight w:val="none"/>
          <w:lang w:val="zh-CN" w:eastAsia="zh-CN" w:bidi="ar"/>
        </w:rPr>
        <w:t>（三）人员概况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zh-CN"/>
        </w:rPr>
        <w:t>泸州市残疾人联合会</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机关及下属事业单位</w:t>
      </w:r>
      <w:r>
        <w:rPr>
          <w:rFonts w:hint="default" w:ascii="Times New Roman" w:hAnsi="Times New Roman" w:eastAsia="方正仿宋简体" w:cs="Times New Roman"/>
          <w:b/>
          <w:bCs/>
          <w:color w:val="auto"/>
          <w:kern w:val="0"/>
          <w:sz w:val="32"/>
          <w:szCs w:val="32"/>
          <w:highlight w:val="none"/>
          <w:shd w:val="clear" w:color="auto" w:fill="FFFFFF"/>
          <w:lang w:val="zh-CN"/>
        </w:rPr>
        <w:t>总编制</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29</w:t>
      </w:r>
      <w:r>
        <w:rPr>
          <w:rFonts w:hint="default" w:ascii="Times New Roman" w:hAnsi="Times New Roman" w:eastAsia="方正仿宋简体" w:cs="Times New Roman"/>
          <w:b/>
          <w:bCs/>
          <w:color w:val="auto"/>
          <w:kern w:val="0"/>
          <w:sz w:val="32"/>
          <w:szCs w:val="32"/>
          <w:highlight w:val="none"/>
          <w:shd w:val="clear" w:color="auto" w:fill="FFFFFF"/>
          <w:lang w:val="zh-CN"/>
        </w:rPr>
        <w:t>名，其中事业编制（参公）10名，工勤编制1名。</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截至2024年12月31日，市残联机关及下属事业单位</w:t>
      </w:r>
      <w:r>
        <w:rPr>
          <w:rFonts w:hint="default" w:ascii="Times New Roman" w:hAnsi="Times New Roman" w:eastAsia="方正仿宋简体" w:cs="Times New Roman"/>
          <w:b/>
          <w:bCs/>
          <w:color w:val="auto"/>
          <w:kern w:val="0"/>
          <w:sz w:val="32"/>
          <w:szCs w:val="32"/>
          <w:highlight w:val="none"/>
          <w:shd w:val="clear" w:color="auto" w:fill="FFFFFF"/>
          <w:lang w:val="zh-CN"/>
        </w:rPr>
        <w:t>在职人员总数</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28</w:t>
      </w:r>
      <w:r>
        <w:rPr>
          <w:rFonts w:hint="default" w:ascii="Times New Roman" w:hAnsi="Times New Roman" w:eastAsia="方正仿宋简体" w:cs="Times New Roman"/>
          <w:b/>
          <w:bCs/>
          <w:color w:val="auto"/>
          <w:kern w:val="0"/>
          <w:sz w:val="32"/>
          <w:szCs w:val="32"/>
          <w:highlight w:val="none"/>
          <w:shd w:val="clear" w:color="auto" w:fill="FFFFFF"/>
          <w:lang w:val="zh-CN"/>
        </w:rPr>
        <w:t>人，其中</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公务员11人，</w:t>
      </w:r>
      <w:r>
        <w:rPr>
          <w:rFonts w:hint="default" w:ascii="Times New Roman" w:hAnsi="Times New Roman" w:eastAsia="方正仿宋简体" w:cs="Times New Roman"/>
          <w:b/>
          <w:bCs/>
          <w:color w:val="auto"/>
          <w:kern w:val="0"/>
          <w:sz w:val="32"/>
          <w:szCs w:val="32"/>
          <w:highlight w:val="none"/>
          <w:shd w:val="clear" w:color="auto" w:fill="FFFFFF"/>
          <w:lang w:val="zh-CN"/>
        </w:rPr>
        <w:t>事业人员（参公）</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17</w:t>
      </w:r>
      <w:r>
        <w:rPr>
          <w:rFonts w:hint="default" w:ascii="Times New Roman" w:hAnsi="Times New Roman" w:eastAsia="方正仿宋简体" w:cs="Times New Roman"/>
          <w:b/>
          <w:bCs/>
          <w:color w:val="auto"/>
          <w:kern w:val="0"/>
          <w:sz w:val="32"/>
          <w:szCs w:val="32"/>
          <w:highlight w:val="none"/>
          <w:shd w:val="clear" w:color="auto" w:fill="FFFFFF"/>
          <w:lang w:val="zh-CN"/>
        </w:rPr>
        <w:t>人；退休人员</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10</w:t>
      </w:r>
      <w:r>
        <w:rPr>
          <w:rFonts w:hint="default" w:ascii="Times New Roman" w:hAnsi="Times New Roman" w:eastAsia="方正仿宋简体" w:cs="Times New Roman"/>
          <w:b/>
          <w:bCs/>
          <w:color w:val="auto"/>
          <w:kern w:val="0"/>
          <w:sz w:val="32"/>
          <w:szCs w:val="32"/>
          <w:highlight w:val="none"/>
          <w:shd w:val="clear" w:color="auto" w:fill="FFFFFF"/>
          <w:lang w:val="zh-CN"/>
        </w:rPr>
        <w:t>人，较上年</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增加</w:t>
      </w:r>
      <w:r>
        <w:rPr>
          <w:rFonts w:hint="default" w:ascii="Times New Roman" w:hAnsi="Times New Roman" w:eastAsia="方正仿宋简体" w:cs="Times New Roman"/>
          <w:b/>
          <w:bCs/>
          <w:color w:val="auto"/>
          <w:kern w:val="0"/>
          <w:sz w:val="32"/>
          <w:szCs w:val="32"/>
          <w:highlight w:val="none"/>
          <w:shd w:val="clear" w:color="auto" w:fill="FFFFFF"/>
          <w:lang w:val="zh-CN"/>
        </w:rPr>
        <w:t>1人，主要是</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1名在编人员转退休。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right="0" w:rightChars="0" w:firstLine="643" w:firstLineChars="200"/>
        <w:contextualSpacing/>
        <w:jc w:val="both"/>
        <w:textAlignment w:val="auto"/>
        <w:rPr>
          <w:rFonts w:hint="default" w:ascii="Times New Roman" w:hAnsi="Times New Roman" w:eastAsia="黑体" w:cs="Times New Roman"/>
          <w:b/>
          <w:bCs/>
          <w:color w:val="auto"/>
          <w:kern w:val="0"/>
          <w:sz w:val="32"/>
          <w:szCs w:val="32"/>
          <w:highlight w:val="none"/>
          <w:shd w:val="clear" w:fill="FFFFFF"/>
          <w:lang w:val="zh-CN" w:eastAsia="zh-CN" w:bidi="ar-SA"/>
        </w:rPr>
      </w:pPr>
      <w:r>
        <w:rPr>
          <w:rFonts w:hint="default" w:ascii="Times New Roman" w:hAnsi="Times New Roman" w:eastAsia="黑体" w:cs="Times New Roman"/>
          <w:b/>
          <w:bCs/>
          <w:color w:val="auto"/>
          <w:kern w:val="0"/>
          <w:sz w:val="32"/>
          <w:szCs w:val="32"/>
          <w:highlight w:val="none"/>
          <w:shd w:val="clear" w:fill="FFFFFF"/>
          <w:lang w:val="zh-CN" w:eastAsia="zh-CN" w:bidi="ar-SA"/>
        </w:rPr>
        <w:t>二、部门资金收支情况</w:t>
      </w:r>
    </w:p>
    <w:p>
      <w:pPr>
        <w:pStyle w:val="4"/>
        <w:keepNext w:val="0"/>
        <w:keepLines w:val="0"/>
        <w:pageBreakBefore w:val="0"/>
        <w:widowControl w:val="0"/>
        <w:numPr>
          <w:ilvl w:val="0"/>
          <w:numId w:val="0"/>
        </w:numPr>
        <w:kinsoku/>
        <w:wordWrap/>
        <w:overflowPunct/>
        <w:topLinePunct w:val="0"/>
        <w:autoSpaceDE/>
        <w:autoSpaceDN/>
        <w:bidi w:val="0"/>
        <w:spacing w:before="0" w:beforeAutospacing="0" w:after="0" w:afterAutospacing="0" w:line="576" w:lineRule="exact"/>
        <w:ind w:left="0" w:leftChars="0" w:firstLine="643" w:firstLineChars="200"/>
        <w:jc w:val="both"/>
        <w:textAlignment w:val="auto"/>
        <w:rPr>
          <w:rFonts w:hint="default" w:ascii="Times New Roman" w:hAnsi="Times New Roman" w:eastAsia="方正楷体简体" w:cs="Times New Roman"/>
          <w:b/>
          <w:bCs/>
          <w:color w:val="000000"/>
          <w:sz w:val="32"/>
          <w:szCs w:val="32"/>
          <w:highlight w:val="none"/>
        </w:rPr>
      </w:pPr>
      <w:bookmarkStart w:id="57" w:name="_Toc15611"/>
      <w:bookmarkStart w:id="58" w:name="_Toc20375"/>
      <w:bookmarkStart w:id="59" w:name="_Toc114157845"/>
      <w:bookmarkStart w:id="60" w:name="_Toc14057"/>
      <w:r>
        <w:rPr>
          <w:rFonts w:hint="default" w:ascii="Times New Roman" w:hAnsi="Times New Roman" w:eastAsia="方正楷体简体" w:cs="Times New Roman"/>
          <w:b/>
          <w:bCs/>
          <w:color w:val="000000"/>
          <w:kern w:val="0"/>
          <w:sz w:val="32"/>
          <w:szCs w:val="32"/>
          <w:highlight w:val="none"/>
          <w:lang w:val="en-US" w:eastAsia="zh-CN" w:bidi="ar"/>
        </w:rPr>
        <w:t>（一）</w:t>
      </w:r>
      <w:r>
        <w:rPr>
          <w:rFonts w:hint="default" w:ascii="Times New Roman" w:hAnsi="Times New Roman" w:eastAsia="方正楷体简体" w:cs="Times New Roman"/>
          <w:b/>
          <w:bCs/>
          <w:color w:val="000000"/>
          <w:sz w:val="32"/>
          <w:szCs w:val="32"/>
          <w:highlight w:val="none"/>
        </w:rPr>
        <w:t>预算编制情况</w:t>
      </w:r>
      <w:bookmarkEnd w:id="57"/>
      <w:bookmarkEnd w:id="58"/>
      <w:bookmarkEnd w:id="59"/>
      <w:bookmarkEnd w:id="60"/>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1.部门收入预算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2024年市</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残联部门</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年初收入预算总计为3094.05万元，调整预算</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后收入</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为4505.87万元（其中：一般公共预算财政拨款收入</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 xml:space="preserve"> 3344.72</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万元，政府性基金预算财政拨款收入</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1161.15</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万元），收入决算4505.87万元。</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收入情况见表1-1。</w:t>
      </w:r>
    </w:p>
    <w:p>
      <w:pPr>
        <w:keepNext w:val="0"/>
        <w:keepLines w:val="0"/>
        <w:pageBreakBefore w:val="0"/>
        <w:widowControl w:val="0"/>
        <w:kinsoku/>
        <w:wordWrap/>
        <w:overflowPunct/>
        <w:topLinePunct w:val="0"/>
        <w:autoSpaceDE/>
        <w:autoSpaceDN/>
        <w:bidi w:val="0"/>
        <w:spacing w:beforeAutospacing="0" w:afterAutospacing="0" w:line="576" w:lineRule="exact"/>
        <w:jc w:val="center"/>
        <w:textAlignment w:val="auto"/>
        <w:rPr>
          <w:rFonts w:hint="default" w:ascii="Times New Roman" w:hAnsi="Times New Roman" w:eastAsia="方正仿宋简体" w:cs="Times New Roman"/>
          <w:b/>
          <w:bCs/>
          <w:color w:val="000000"/>
          <w:sz w:val="32"/>
          <w:szCs w:val="32"/>
          <w:highlight w:val="none"/>
        </w:rPr>
      </w:pPr>
      <w:r>
        <w:rPr>
          <w:rFonts w:hint="default" w:ascii="Times New Roman" w:hAnsi="Times New Roman" w:eastAsia="方正仿宋简体" w:cs="Times New Roman"/>
          <w:b/>
          <w:bCs/>
          <w:color w:val="000000"/>
          <w:kern w:val="0"/>
          <w:sz w:val="32"/>
          <w:szCs w:val="32"/>
          <w:highlight w:val="none"/>
        </w:rPr>
        <w:t>表</w:t>
      </w:r>
      <w:r>
        <w:rPr>
          <w:rFonts w:hint="default" w:ascii="Times New Roman" w:hAnsi="Times New Roman" w:eastAsia="方正仿宋简体" w:cs="Times New Roman"/>
          <w:b/>
          <w:bCs/>
          <w:color w:val="000000"/>
          <w:kern w:val="0"/>
          <w:sz w:val="32"/>
          <w:szCs w:val="32"/>
          <w:highlight w:val="none"/>
          <w:lang w:val="en-US" w:eastAsia="zh-CN"/>
        </w:rPr>
        <w:t>1</w:t>
      </w:r>
      <w:r>
        <w:rPr>
          <w:rFonts w:hint="default" w:ascii="Times New Roman" w:hAnsi="Times New Roman" w:eastAsia="方正仿宋简体" w:cs="Times New Roman"/>
          <w:b/>
          <w:bCs/>
          <w:color w:val="000000"/>
          <w:kern w:val="0"/>
          <w:sz w:val="32"/>
          <w:szCs w:val="32"/>
          <w:highlight w:val="none"/>
        </w:rPr>
        <w:t xml:space="preserve">-1  </w:t>
      </w:r>
      <w:r>
        <w:rPr>
          <w:rFonts w:hint="default" w:ascii="Times New Roman" w:hAnsi="Times New Roman" w:eastAsia="方正仿宋简体" w:cs="Times New Roman"/>
          <w:b/>
          <w:bCs/>
          <w:color w:val="000000"/>
          <w:kern w:val="0"/>
          <w:sz w:val="32"/>
          <w:szCs w:val="32"/>
          <w:highlight w:val="none"/>
          <w:lang w:eastAsia="zh-CN"/>
        </w:rPr>
        <w:t>2024</w:t>
      </w:r>
      <w:r>
        <w:rPr>
          <w:rFonts w:hint="default" w:ascii="Times New Roman" w:hAnsi="Times New Roman" w:eastAsia="方正仿宋简体" w:cs="Times New Roman"/>
          <w:b/>
          <w:bCs/>
          <w:color w:val="000000"/>
          <w:kern w:val="0"/>
          <w:sz w:val="32"/>
          <w:szCs w:val="32"/>
          <w:highlight w:val="none"/>
        </w:rPr>
        <w:t>年市</w:t>
      </w:r>
      <w:r>
        <w:rPr>
          <w:rFonts w:hint="default" w:ascii="Times New Roman" w:hAnsi="Times New Roman" w:eastAsia="方正仿宋简体" w:cs="Times New Roman"/>
          <w:b/>
          <w:bCs/>
          <w:color w:val="000000"/>
          <w:kern w:val="0"/>
          <w:sz w:val="32"/>
          <w:szCs w:val="32"/>
          <w:highlight w:val="none"/>
          <w:lang w:val="en-US" w:eastAsia="zh-CN"/>
        </w:rPr>
        <w:t>残联部门</w:t>
      </w:r>
      <w:r>
        <w:rPr>
          <w:rFonts w:hint="default" w:ascii="Times New Roman" w:hAnsi="Times New Roman" w:eastAsia="方正仿宋简体" w:cs="Times New Roman"/>
          <w:b/>
          <w:bCs/>
          <w:color w:val="000000"/>
          <w:kern w:val="0"/>
          <w:sz w:val="32"/>
          <w:szCs w:val="32"/>
          <w:highlight w:val="none"/>
        </w:rPr>
        <w:t>收入预决算情况表</w:t>
      </w:r>
    </w:p>
    <w:p>
      <w:pPr>
        <w:keepNext w:val="0"/>
        <w:keepLines w:val="0"/>
        <w:pageBreakBefore w:val="0"/>
        <w:widowControl w:val="0"/>
        <w:kinsoku/>
        <w:wordWrap/>
        <w:overflowPunct/>
        <w:topLinePunct w:val="0"/>
        <w:autoSpaceDE/>
        <w:autoSpaceDN/>
        <w:bidi w:val="0"/>
        <w:spacing w:beforeAutospacing="0" w:afterAutospacing="0" w:line="600" w:lineRule="exact"/>
        <w:ind w:left="0" w:leftChars="0" w:firstLine="7308" w:firstLineChars="2600"/>
        <w:jc w:val="both"/>
        <w:textAlignment w:val="auto"/>
        <w:rPr>
          <w:rFonts w:hint="default" w:ascii="Times New Roman" w:hAnsi="Times New Roman" w:eastAsia="方正仿宋简体" w:cs="Times New Roman"/>
          <w:b/>
          <w:bCs/>
          <w:color w:val="000000"/>
          <w:kern w:val="0"/>
          <w:sz w:val="28"/>
          <w:szCs w:val="28"/>
          <w:highlight w:val="none"/>
        </w:rPr>
      </w:pPr>
      <w:r>
        <w:rPr>
          <w:rFonts w:hint="default" w:ascii="Times New Roman" w:hAnsi="Times New Roman" w:eastAsia="方正仿宋简体" w:cs="Times New Roman"/>
          <w:b/>
          <w:bCs/>
          <w:color w:val="000000"/>
          <w:kern w:val="0"/>
          <w:sz w:val="28"/>
          <w:szCs w:val="28"/>
          <w:highlight w:val="none"/>
        </w:rPr>
        <w:t>单位：万元</w:t>
      </w:r>
    </w:p>
    <w:tbl>
      <w:tblPr>
        <w:tblStyle w:val="19"/>
        <w:tblW w:w="4997" w:type="pct"/>
        <w:tblInd w:w="0" w:type="dxa"/>
        <w:tblLayout w:type="autofit"/>
        <w:tblCellMar>
          <w:top w:w="15" w:type="dxa"/>
          <w:left w:w="15" w:type="dxa"/>
          <w:bottom w:w="15" w:type="dxa"/>
          <w:right w:w="15" w:type="dxa"/>
        </w:tblCellMar>
      </w:tblPr>
      <w:tblGrid>
        <w:gridCol w:w="3881"/>
        <w:gridCol w:w="1202"/>
        <w:gridCol w:w="1260"/>
        <w:gridCol w:w="1251"/>
        <w:gridCol w:w="1276"/>
      </w:tblGrid>
      <w:tr>
        <w:tblPrEx>
          <w:tblCellMar>
            <w:top w:w="15" w:type="dxa"/>
            <w:left w:w="15" w:type="dxa"/>
            <w:bottom w:w="15" w:type="dxa"/>
            <w:right w:w="15" w:type="dxa"/>
          </w:tblCellMar>
        </w:tblPrEx>
        <w:trPr>
          <w:trHeight w:val="393" w:hRule="atLeast"/>
          <w:tblHeader/>
        </w:trPr>
        <w:tc>
          <w:tcPr>
            <w:tcW w:w="2188"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center"/>
              <w:rPr>
                <w:rFonts w:hint="default" w:ascii="Times New Roman" w:hAnsi="Times New Roman" w:eastAsia="方正仿宋简体" w:cs="Times New Roman"/>
                <w:b/>
                <w:bCs/>
                <w:color w:val="000000"/>
                <w:kern w:val="0"/>
                <w:sz w:val="24"/>
                <w:highlight w:val="none"/>
                <w:lang w:val="zh-CN"/>
              </w:rPr>
            </w:pPr>
            <w:r>
              <w:rPr>
                <w:rFonts w:hint="default" w:ascii="Times New Roman" w:hAnsi="Times New Roman" w:eastAsia="方正仿宋简体" w:cs="Times New Roman"/>
                <w:b/>
                <w:bCs/>
                <w:color w:val="000000"/>
                <w:kern w:val="0"/>
                <w:sz w:val="24"/>
                <w:highlight w:val="none"/>
                <w:lang w:val="zh-CN"/>
              </w:rPr>
              <w:t>类别</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center"/>
              <w:rPr>
                <w:rFonts w:hint="default" w:ascii="Times New Roman" w:hAnsi="Times New Roman" w:eastAsia="方正仿宋简体" w:cs="Times New Roman"/>
                <w:b/>
                <w:bCs/>
                <w:color w:val="000000"/>
                <w:kern w:val="0"/>
                <w:sz w:val="24"/>
                <w:highlight w:val="none"/>
                <w:lang w:val="zh-CN"/>
              </w:rPr>
            </w:pPr>
            <w:r>
              <w:rPr>
                <w:rFonts w:hint="default" w:ascii="Times New Roman" w:hAnsi="Times New Roman" w:eastAsia="方正仿宋简体" w:cs="Times New Roman"/>
                <w:b/>
                <w:bCs/>
                <w:color w:val="000000"/>
                <w:kern w:val="0"/>
                <w:sz w:val="22"/>
                <w:highlight w:val="none"/>
                <w:lang w:val="zh-CN"/>
              </w:rPr>
              <w:t>年初预算</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lang w:val="zh-CN"/>
              </w:rPr>
              <w:t>追加（减）</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center"/>
              <w:rPr>
                <w:rFonts w:hint="default" w:ascii="Times New Roman" w:hAnsi="Times New Roman" w:eastAsia="方正仿宋简体" w:cs="Times New Roman"/>
                <w:b/>
                <w:bCs/>
                <w:color w:val="000000"/>
                <w:kern w:val="0"/>
                <w:sz w:val="24"/>
                <w:highlight w:val="none"/>
                <w:lang w:val="zh-CN"/>
              </w:rPr>
            </w:pPr>
            <w:r>
              <w:rPr>
                <w:rFonts w:hint="default" w:ascii="Times New Roman" w:hAnsi="Times New Roman" w:eastAsia="方正仿宋简体" w:cs="Times New Roman"/>
                <w:b/>
                <w:bCs/>
                <w:color w:val="000000"/>
                <w:kern w:val="0"/>
                <w:sz w:val="24"/>
                <w:highlight w:val="none"/>
                <w:lang w:val="zh-CN"/>
              </w:rPr>
              <w:t>调整</w:t>
            </w:r>
            <w:r>
              <w:rPr>
                <w:rFonts w:hint="default" w:ascii="Times New Roman" w:hAnsi="Times New Roman" w:eastAsia="方正仿宋简体" w:cs="Times New Roman"/>
                <w:b/>
                <w:bCs/>
                <w:color w:val="000000"/>
                <w:kern w:val="0"/>
                <w:sz w:val="22"/>
                <w:highlight w:val="none"/>
                <w:lang w:val="zh-CN"/>
              </w:rPr>
              <w:t>预算</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center"/>
              <w:rPr>
                <w:rFonts w:hint="default" w:ascii="Times New Roman" w:hAnsi="Times New Roman" w:eastAsia="方正仿宋简体" w:cs="Times New Roman"/>
                <w:b/>
                <w:bCs/>
                <w:color w:val="000000"/>
                <w:kern w:val="0"/>
                <w:sz w:val="24"/>
                <w:highlight w:val="none"/>
                <w:lang w:val="zh-CN"/>
              </w:rPr>
            </w:pPr>
            <w:r>
              <w:rPr>
                <w:rFonts w:hint="default" w:ascii="Times New Roman" w:hAnsi="Times New Roman" w:eastAsia="方正仿宋简体" w:cs="Times New Roman"/>
                <w:b/>
                <w:bCs/>
                <w:color w:val="000000"/>
                <w:kern w:val="0"/>
                <w:sz w:val="22"/>
                <w:highlight w:val="none"/>
                <w:lang w:val="zh-CN"/>
              </w:rPr>
              <w:t>决算数</w:t>
            </w:r>
          </w:p>
        </w:tc>
      </w:tr>
      <w:tr>
        <w:tblPrEx>
          <w:tblCellMar>
            <w:top w:w="15" w:type="dxa"/>
            <w:left w:w="15" w:type="dxa"/>
            <w:bottom w:w="15" w:type="dxa"/>
            <w:right w:w="15" w:type="dxa"/>
          </w:tblCellMar>
        </w:tblPrEx>
        <w:trPr>
          <w:trHeight w:val="429" w:hRule="atLeast"/>
        </w:trPr>
        <w:tc>
          <w:tcPr>
            <w:tcW w:w="2188"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left"/>
              <w:rPr>
                <w:rFonts w:hint="default" w:ascii="Times New Roman" w:hAnsi="Times New Roman" w:eastAsia="方正仿宋简体" w:cs="Times New Roman"/>
                <w:b/>
                <w:bCs/>
                <w:color w:val="000000"/>
                <w:kern w:val="0"/>
                <w:sz w:val="24"/>
                <w:highlight w:val="none"/>
                <w:lang w:val="zh-CN"/>
              </w:rPr>
            </w:pPr>
            <w:r>
              <w:rPr>
                <w:rFonts w:hint="default" w:ascii="Times New Roman" w:hAnsi="Times New Roman" w:eastAsia="方正仿宋简体" w:cs="Times New Roman"/>
                <w:b/>
                <w:bCs/>
                <w:color w:val="000000"/>
                <w:kern w:val="0"/>
                <w:sz w:val="24"/>
                <w:highlight w:val="none"/>
              </w:rPr>
              <w:t>一、</w:t>
            </w:r>
            <w:r>
              <w:rPr>
                <w:rFonts w:hint="default" w:ascii="Times New Roman" w:hAnsi="Times New Roman" w:eastAsia="方正仿宋简体" w:cs="Times New Roman"/>
                <w:b/>
                <w:bCs/>
                <w:color w:val="000000"/>
                <w:kern w:val="0"/>
                <w:sz w:val="24"/>
                <w:highlight w:val="none"/>
                <w:lang w:val="zh-CN"/>
              </w:rPr>
              <w:t>一般公共预算财政拨款收入</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3094.05</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250.67</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3344.72</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3344.72</w:t>
            </w:r>
          </w:p>
        </w:tc>
      </w:tr>
      <w:tr>
        <w:tblPrEx>
          <w:tblCellMar>
            <w:top w:w="15" w:type="dxa"/>
            <w:left w:w="15" w:type="dxa"/>
            <w:bottom w:w="15" w:type="dxa"/>
            <w:right w:w="15" w:type="dxa"/>
          </w:tblCellMar>
        </w:tblPrEx>
        <w:trPr>
          <w:trHeight w:val="90" w:hRule="atLeast"/>
        </w:trPr>
        <w:tc>
          <w:tcPr>
            <w:tcW w:w="2188"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left"/>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二、政府性基金预算财政拨款收入</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rPr>
            </w:pPr>
          </w:p>
        </w:tc>
        <w:tc>
          <w:tcPr>
            <w:tcW w:w="71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1161.15</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1161.15</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1161.15</w:t>
            </w:r>
          </w:p>
        </w:tc>
      </w:tr>
      <w:tr>
        <w:tblPrEx>
          <w:tblCellMar>
            <w:top w:w="15" w:type="dxa"/>
            <w:left w:w="15" w:type="dxa"/>
            <w:bottom w:w="15" w:type="dxa"/>
            <w:right w:w="15" w:type="dxa"/>
          </w:tblCellMar>
        </w:tblPrEx>
        <w:trPr>
          <w:trHeight w:val="405" w:hRule="atLeast"/>
        </w:trPr>
        <w:tc>
          <w:tcPr>
            <w:tcW w:w="2188"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本年收入合计</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3094.05</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1411.82</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4505.87</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4505.87</w:t>
            </w:r>
          </w:p>
        </w:tc>
      </w:tr>
      <w:tr>
        <w:tblPrEx>
          <w:tblCellMar>
            <w:top w:w="15" w:type="dxa"/>
            <w:left w:w="15" w:type="dxa"/>
            <w:bottom w:w="15" w:type="dxa"/>
            <w:right w:w="15" w:type="dxa"/>
          </w:tblCellMar>
        </w:tblPrEx>
        <w:trPr>
          <w:trHeight w:val="383" w:hRule="atLeast"/>
        </w:trPr>
        <w:tc>
          <w:tcPr>
            <w:tcW w:w="2188"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left"/>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三、年初结转和结余</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rPr>
            </w:pPr>
          </w:p>
        </w:tc>
        <w:tc>
          <w:tcPr>
            <w:tcW w:w="71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1.65</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1.65</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1.65</w:t>
            </w:r>
          </w:p>
        </w:tc>
      </w:tr>
      <w:tr>
        <w:tblPrEx>
          <w:tblCellMar>
            <w:top w:w="15" w:type="dxa"/>
            <w:left w:w="15" w:type="dxa"/>
            <w:bottom w:w="15" w:type="dxa"/>
            <w:right w:w="15" w:type="dxa"/>
          </w:tblCellMar>
        </w:tblPrEx>
        <w:trPr>
          <w:trHeight w:val="429" w:hRule="atLeast"/>
        </w:trPr>
        <w:tc>
          <w:tcPr>
            <w:tcW w:w="2188" w:type="pct"/>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jc w:val="center"/>
              <w:rPr>
                <w:rFonts w:hint="default" w:ascii="Times New Roman" w:hAnsi="Times New Roman" w:eastAsia="方正仿宋简体" w:cs="Times New Roman"/>
                <w:b/>
                <w:bCs/>
                <w:color w:val="000000"/>
                <w:kern w:val="0"/>
                <w:sz w:val="24"/>
                <w:highlight w:val="none"/>
                <w:lang w:val="zh-CN"/>
              </w:rPr>
            </w:pPr>
            <w:r>
              <w:rPr>
                <w:rFonts w:hint="default" w:ascii="Times New Roman" w:hAnsi="Times New Roman" w:eastAsia="方正仿宋简体" w:cs="Times New Roman"/>
                <w:b/>
                <w:bCs/>
                <w:color w:val="000000"/>
                <w:kern w:val="0"/>
                <w:sz w:val="24"/>
                <w:highlight w:val="none"/>
              </w:rPr>
              <w:t>总</w:t>
            </w:r>
            <w:r>
              <w:rPr>
                <w:rFonts w:hint="default" w:ascii="Times New Roman" w:hAnsi="Times New Roman" w:eastAsia="方正仿宋简体" w:cs="Times New Roman"/>
                <w:b/>
                <w:bCs/>
                <w:color w:val="000000"/>
                <w:kern w:val="0"/>
                <w:sz w:val="24"/>
                <w:highlight w:val="none"/>
                <w:lang w:val="zh-CN"/>
              </w:rPr>
              <w:t>计</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3094.05</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1413.47</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4507.52</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4507.52</w:t>
            </w:r>
          </w:p>
        </w:tc>
      </w:tr>
      <w:tr>
        <w:tblPrEx>
          <w:tblCellMar>
            <w:top w:w="15" w:type="dxa"/>
            <w:left w:w="15" w:type="dxa"/>
            <w:bottom w:w="15" w:type="dxa"/>
            <w:right w:w="15" w:type="dxa"/>
          </w:tblCellMar>
        </w:tblPrEx>
        <w:trPr>
          <w:trHeight w:val="173"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pBdr>
                <w:between w:val="single" w:color="auto" w:sz="4" w:space="1"/>
              </w:pBd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备注：执行中追加（减）数=调整预算数-年初预算数</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2.部门支出情况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2024年，市残联部门年初支出预算3094.05万元，调整后预算4505.87万元，支出决算4505.87万元（其中：基本支出809.36万元，项目支出3696.51万元）。另有年末结转和结余1.65万元，支出情况见表1-2。</w:t>
      </w:r>
    </w:p>
    <w:p>
      <w:pPr>
        <w:keepNext w:val="0"/>
        <w:keepLines w:val="0"/>
        <w:pageBreakBefore w:val="0"/>
        <w:widowControl w:val="0"/>
        <w:kinsoku/>
        <w:wordWrap/>
        <w:overflowPunct/>
        <w:topLinePunct w:val="0"/>
        <w:autoSpaceDE/>
        <w:autoSpaceDN/>
        <w:bidi w:val="0"/>
        <w:spacing w:beforeAutospacing="0" w:afterAutospacing="0" w:line="576" w:lineRule="exact"/>
        <w:jc w:val="center"/>
        <w:textAlignment w:val="auto"/>
        <w:rPr>
          <w:rFonts w:hint="default" w:ascii="Times New Roman" w:hAnsi="Times New Roman" w:eastAsia="方正仿宋简体" w:cs="Times New Roman"/>
          <w:b/>
          <w:bCs/>
          <w:color w:val="000000"/>
          <w:kern w:val="0"/>
          <w:sz w:val="32"/>
          <w:szCs w:val="32"/>
          <w:highlight w:val="none"/>
        </w:rPr>
      </w:pPr>
      <w:r>
        <w:rPr>
          <w:rFonts w:hint="default" w:ascii="Times New Roman" w:hAnsi="Times New Roman" w:eastAsia="方正仿宋简体" w:cs="Times New Roman"/>
          <w:b/>
          <w:bCs/>
          <w:color w:val="000000"/>
          <w:kern w:val="0"/>
          <w:sz w:val="32"/>
          <w:szCs w:val="32"/>
          <w:highlight w:val="none"/>
        </w:rPr>
        <w:t>表</w:t>
      </w:r>
      <w:r>
        <w:rPr>
          <w:rFonts w:hint="default" w:ascii="Times New Roman" w:hAnsi="Times New Roman" w:eastAsia="方正仿宋简体" w:cs="Times New Roman"/>
          <w:b/>
          <w:bCs/>
          <w:color w:val="000000"/>
          <w:kern w:val="0"/>
          <w:sz w:val="32"/>
          <w:szCs w:val="32"/>
          <w:highlight w:val="none"/>
          <w:lang w:val="en-US" w:eastAsia="zh-CN"/>
        </w:rPr>
        <w:t>1</w:t>
      </w:r>
      <w:r>
        <w:rPr>
          <w:rFonts w:hint="default" w:ascii="Times New Roman" w:hAnsi="Times New Roman" w:eastAsia="方正仿宋简体" w:cs="Times New Roman"/>
          <w:b/>
          <w:bCs/>
          <w:color w:val="000000"/>
          <w:kern w:val="0"/>
          <w:sz w:val="32"/>
          <w:szCs w:val="32"/>
          <w:highlight w:val="none"/>
        </w:rPr>
        <w:t xml:space="preserve">-2  </w:t>
      </w:r>
      <w:r>
        <w:rPr>
          <w:rFonts w:hint="default" w:ascii="Times New Roman" w:hAnsi="Times New Roman" w:eastAsia="方正仿宋简体" w:cs="Times New Roman"/>
          <w:b/>
          <w:bCs/>
          <w:color w:val="000000"/>
          <w:kern w:val="0"/>
          <w:sz w:val="32"/>
          <w:szCs w:val="32"/>
          <w:highlight w:val="none"/>
          <w:lang w:eastAsia="zh-CN"/>
        </w:rPr>
        <w:t>2024</w:t>
      </w:r>
      <w:r>
        <w:rPr>
          <w:rFonts w:hint="default" w:ascii="Times New Roman" w:hAnsi="Times New Roman" w:eastAsia="方正仿宋简体" w:cs="Times New Roman"/>
          <w:b/>
          <w:bCs/>
          <w:color w:val="000000"/>
          <w:kern w:val="0"/>
          <w:sz w:val="32"/>
          <w:szCs w:val="32"/>
          <w:highlight w:val="none"/>
        </w:rPr>
        <w:t>年市</w:t>
      </w:r>
      <w:r>
        <w:rPr>
          <w:rFonts w:hint="default" w:ascii="Times New Roman" w:hAnsi="Times New Roman" w:eastAsia="方正仿宋简体" w:cs="Times New Roman"/>
          <w:b/>
          <w:bCs/>
          <w:color w:val="000000"/>
          <w:kern w:val="0"/>
          <w:sz w:val="32"/>
          <w:szCs w:val="32"/>
          <w:highlight w:val="none"/>
          <w:lang w:val="en-US" w:eastAsia="zh-CN"/>
        </w:rPr>
        <w:t>残联部门</w:t>
      </w:r>
      <w:r>
        <w:rPr>
          <w:rFonts w:hint="default" w:ascii="Times New Roman" w:hAnsi="Times New Roman" w:eastAsia="方正仿宋简体" w:cs="Times New Roman"/>
          <w:b/>
          <w:bCs/>
          <w:color w:val="000000"/>
          <w:kern w:val="0"/>
          <w:sz w:val="32"/>
          <w:szCs w:val="32"/>
          <w:highlight w:val="none"/>
        </w:rPr>
        <w:t>支出预决算情况表</w:t>
      </w:r>
    </w:p>
    <w:p>
      <w:pPr>
        <w:pStyle w:val="39"/>
        <w:spacing w:before="0" w:after="0" w:line="600" w:lineRule="exact"/>
        <w:jc w:val="right"/>
        <w:rPr>
          <w:rFonts w:hint="default" w:ascii="Times New Roman" w:hAnsi="Times New Roman" w:eastAsia="方正仿宋简体" w:cs="Times New Roman"/>
          <w:b/>
          <w:bCs/>
          <w:color w:val="000000"/>
          <w:sz w:val="28"/>
          <w:szCs w:val="28"/>
          <w:highlight w:val="none"/>
        </w:rPr>
      </w:pPr>
      <w:r>
        <w:rPr>
          <w:rFonts w:hint="default" w:ascii="Times New Roman" w:hAnsi="Times New Roman" w:eastAsia="方正仿宋简体" w:cs="Times New Roman"/>
          <w:b/>
          <w:bCs/>
          <w:color w:val="000000"/>
          <w:sz w:val="28"/>
          <w:szCs w:val="28"/>
          <w:highlight w:val="none"/>
        </w:rPr>
        <w:t>单位：万元</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3"/>
        <w:gridCol w:w="1289"/>
        <w:gridCol w:w="1319"/>
        <w:gridCol w:w="1558"/>
        <w:gridCol w:w="1315"/>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305"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类别</w:t>
            </w:r>
          </w:p>
        </w:tc>
        <w:tc>
          <w:tcPr>
            <w:tcW w:w="712"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r>
              <w:rPr>
                <w:rStyle w:val="41"/>
                <w:rFonts w:hint="default" w:ascii="Times New Roman" w:hAnsi="Times New Roman" w:eastAsia="方正仿宋简体" w:cs="Times New Roman"/>
                <w:b/>
                <w:bCs/>
                <w:color w:val="000000"/>
                <w:sz w:val="24"/>
                <w:szCs w:val="24"/>
                <w:highlight w:val="none"/>
              </w:rPr>
              <w:t>年初预算</w:t>
            </w:r>
          </w:p>
        </w:tc>
        <w:tc>
          <w:tcPr>
            <w:tcW w:w="728"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追加（减）</w:t>
            </w:r>
          </w:p>
        </w:tc>
        <w:tc>
          <w:tcPr>
            <w:tcW w:w="860"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调整</w:t>
            </w:r>
            <w:r>
              <w:rPr>
                <w:rFonts w:hint="default" w:ascii="Times New Roman" w:hAnsi="Times New Roman" w:eastAsia="方正仿宋简体" w:cs="Times New Roman"/>
                <w:b/>
                <w:bCs/>
                <w:color w:val="000000"/>
                <w:sz w:val="24"/>
                <w:szCs w:val="24"/>
                <w:highlight w:val="none"/>
                <w:lang w:val="en-US"/>
              </w:rPr>
              <w:t>后</w:t>
            </w:r>
            <w:r>
              <w:rPr>
                <w:rStyle w:val="41"/>
                <w:rFonts w:hint="default" w:ascii="Times New Roman" w:hAnsi="Times New Roman" w:eastAsia="方正仿宋简体" w:cs="Times New Roman"/>
                <w:b/>
                <w:bCs/>
                <w:color w:val="000000"/>
                <w:sz w:val="24"/>
                <w:szCs w:val="24"/>
                <w:highlight w:val="none"/>
              </w:rPr>
              <w:t>预算</w:t>
            </w:r>
          </w:p>
        </w:tc>
        <w:tc>
          <w:tcPr>
            <w:tcW w:w="726"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r>
              <w:rPr>
                <w:rStyle w:val="41"/>
                <w:rFonts w:hint="default" w:ascii="Times New Roman" w:hAnsi="Times New Roman" w:eastAsia="方正仿宋简体" w:cs="Times New Roman"/>
                <w:b/>
                <w:bCs/>
                <w:color w:val="000000"/>
                <w:sz w:val="24"/>
                <w:szCs w:val="24"/>
                <w:highlight w:val="none"/>
                <w:lang w:val="en-US"/>
              </w:rPr>
              <w:t>支出</w:t>
            </w:r>
            <w:r>
              <w:rPr>
                <w:rStyle w:val="41"/>
                <w:rFonts w:hint="default" w:ascii="Times New Roman" w:hAnsi="Times New Roman" w:eastAsia="方正仿宋简体" w:cs="Times New Roman"/>
                <w:b/>
                <w:bCs/>
                <w:color w:val="000000"/>
                <w:sz w:val="24"/>
                <w:szCs w:val="24"/>
                <w:highlight w:val="none"/>
              </w:rPr>
              <w:t>决算</w:t>
            </w:r>
          </w:p>
        </w:tc>
        <w:tc>
          <w:tcPr>
            <w:tcW w:w="666" w:type="pct"/>
            <w:noWrap w:val="0"/>
            <w:vAlign w:val="top"/>
          </w:tcPr>
          <w:p>
            <w:pPr>
              <w:pStyle w:val="40"/>
              <w:spacing w:line="240" w:lineRule="auto"/>
              <w:rPr>
                <w:rStyle w:val="41"/>
                <w:rFonts w:hint="default" w:ascii="Times New Roman" w:hAnsi="Times New Roman" w:eastAsia="方正仿宋简体" w:cs="Times New Roman"/>
                <w:b/>
                <w:bCs/>
                <w:color w:val="000000"/>
                <w:sz w:val="24"/>
                <w:szCs w:val="24"/>
                <w:highlight w:val="none"/>
                <w:lang w:val="en-US"/>
              </w:rPr>
            </w:pPr>
            <w:r>
              <w:rPr>
                <w:rStyle w:val="41"/>
                <w:rFonts w:hint="default" w:ascii="Times New Roman" w:hAnsi="Times New Roman" w:eastAsia="方正仿宋简体" w:cs="Times New Roman"/>
                <w:b/>
                <w:bCs/>
                <w:color w:val="000000"/>
                <w:sz w:val="24"/>
                <w:szCs w:val="24"/>
                <w:highlight w:val="none"/>
                <w:lang w:val="en-US"/>
              </w:rPr>
              <w:t>支出占比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5"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bookmarkStart w:id="61" w:name="OLE_LINK1" w:colFirst="1" w:colLast="5"/>
            <w:r>
              <w:rPr>
                <w:rFonts w:hint="default" w:ascii="Times New Roman" w:hAnsi="Times New Roman" w:eastAsia="方正仿宋简体" w:cs="Times New Roman"/>
                <w:b/>
                <w:bCs/>
                <w:color w:val="000000"/>
                <w:sz w:val="24"/>
                <w:szCs w:val="24"/>
                <w:highlight w:val="none"/>
              </w:rPr>
              <w:t>一、基本支出</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4"/>
                <w:szCs w:val="24"/>
                <w:highlight w:val="none"/>
                <w:u w:val="none"/>
                <w:lang w:val="en-US" w:eastAsia="zh-CN" w:bidi="ar"/>
              </w:rPr>
            </w:pPr>
            <w:r>
              <w:rPr>
                <w:rFonts w:hint="default" w:ascii="Times New Roman" w:hAnsi="Times New Roman" w:eastAsia="方正仿宋简体" w:cs="Times New Roman"/>
                <w:b/>
                <w:bCs/>
                <w:i w:val="0"/>
                <w:iCs w:val="0"/>
                <w:color w:val="000000"/>
                <w:kern w:val="0"/>
                <w:sz w:val="24"/>
                <w:szCs w:val="24"/>
                <w:highlight w:val="none"/>
                <w:u w:val="none"/>
                <w:lang w:val="en-US" w:eastAsia="zh-CN" w:bidi="ar"/>
              </w:rPr>
              <w:t>835.75</w:t>
            </w:r>
          </w:p>
        </w:tc>
        <w:tc>
          <w:tcPr>
            <w:tcW w:w="728"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color w:val="000000"/>
                <w:sz w:val="24"/>
                <w:highlight w:val="none"/>
                <w:lang w:val="en-US"/>
              </w:rPr>
            </w:pPr>
            <w:r>
              <w:rPr>
                <w:rFonts w:hint="default" w:ascii="Times New Roman" w:hAnsi="Times New Roman" w:eastAsia="方正仿宋简体" w:cs="Times New Roman"/>
                <w:b/>
                <w:bCs/>
                <w:i w:val="0"/>
                <w:iCs w:val="0"/>
                <w:color w:val="000000"/>
                <w:kern w:val="0"/>
                <w:sz w:val="24"/>
                <w:szCs w:val="24"/>
                <w:highlight w:val="none"/>
                <w:u w:val="none"/>
                <w:lang w:val="en-US" w:eastAsia="zh-CN" w:bidi="ar"/>
              </w:rPr>
              <w:t>5.15</w:t>
            </w:r>
          </w:p>
        </w:tc>
        <w:tc>
          <w:tcPr>
            <w:tcW w:w="860"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840.9</w:t>
            </w:r>
          </w:p>
        </w:tc>
        <w:tc>
          <w:tcPr>
            <w:tcW w:w="726"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809.36</w:t>
            </w:r>
          </w:p>
        </w:tc>
        <w:tc>
          <w:tcPr>
            <w:tcW w:w="666" w:type="pct"/>
            <w:noWrap w:val="0"/>
            <w:vAlign w:val="center"/>
          </w:tcPr>
          <w:p>
            <w:pPr>
              <w:widowControl/>
              <w:pBdr>
                <w:right w:val="single" w:color="auto" w:sz="4" w:space="4"/>
                <w:between w:val="single" w:color="auto" w:sz="4" w:space="1"/>
              </w:pBdr>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96.25%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5"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w:t>
            </w:r>
            <w:r>
              <w:rPr>
                <w:rFonts w:hint="default" w:ascii="Times New Roman" w:hAnsi="Times New Roman" w:eastAsia="方正仿宋简体" w:cs="Times New Roman"/>
                <w:b/>
                <w:bCs/>
                <w:color w:val="000000"/>
                <w:sz w:val="24"/>
                <w:szCs w:val="24"/>
                <w:highlight w:val="none"/>
                <w:lang w:val="en-US"/>
              </w:rPr>
              <w:t>一）</w:t>
            </w:r>
            <w:r>
              <w:rPr>
                <w:rFonts w:hint="default" w:ascii="Times New Roman" w:hAnsi="Times New Roman" w:eastAsia="方正仿宋简体" w:cs="Times New Roman"/>
                <w:b/>
                <w:bCs/>
                <w:color w:val="000000"/>
                <w:sz w:val="24"/>
                <w:szCs w:val="24"/>
                <w:highlight w:val="none"/>
              </w:rPr>
              <w:t>人员经费</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4"/>
                <w:szCs w:val="24"/>
                <w:highlight w:val="none"/>
                <w:u w:val="none"/>
                <w:lang w:val="en-US" w:eastAsia="zh-CN" w:bidi="ar"/>
              </w:rPr>
            </w:pPr>
            <w:r>
              <w:rPr>
                <w:rFonts w:hint="default" w:ascii="Times New Roman" w:hAnsi="Times New Roman" w:eastAsia="方正仿宋简体" w:cs="Times New Roman"/>
                <w:b/>
                <w:bCs/>
                <w:i w:val="0"/>
                <w:iCs w:val="0"/>
                <w:color w:val="000000"/>
                <w:kern w:val="0"/>
                <w:sz w:val="24"/>
                <w:szCs w:val="24"/>
                <w:highlight w:val="none"/>
                <w:u w:val="none"/>
                <w:lang w:val="en-US" w:eastAsia="zh-CN" w:bidi="ar"/>
              </w:rPr>
              <w:t>690.24</w:t>
            </w:r>
          </w:p>
        </w:tc>
        <w:tc>
          <w:tcPr>
            <w:tcW w:w="728"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color w:val="000000"/>
                <w:sz w:val="24"/>
                <w:highlight w:val="none"/>
                <w:lang w:val="en-US"/>
              </w:rPr>
            </w:pPr>
            <w:r>
              <w:rPr>
                <w:rFonts w:hint="default" w:ascii="Times New Roman" w:hAnsi="Times New Roman" w:eastAsia="方正仿宋简体" w:cs="Times New Roman"/>
                <w:b/>
                <w:bCs/>
                <w:i w:val="0"/>
                <w:iCs w:val="0"/>
                <w:color w:val="000000"/>
                <w:kern w:val="0"/>
                <w:sz w:val="24"/>
                <w:szCs w:val="24"/>
                <w:highlight w:val="none"/>
                <w:u w:val="none"/>
                <w:lang w:val="en-US" w:eastAsia="zh-CN" w:bidi="ar"/>
              </w:rPr>
              <w:t>7.03</w:t>
            </w:r>
          </w:p>
        </w:tc>
        <w:tc>
          <w:tcPr>
            <w:tcW w:w="860"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697.27</w:t>
            </w:r>
          </w:p>
        </w:tc>
        <w:tc>
          <w:tcPr>
            <w:tcW w:w="726"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665.83</w:t>
            </w:r>
          </w:p>
        </w:tc>
        <w:tc>
          <w:tcPr>
            <w:tcW w:w="666"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95.49%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5"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w:t>
            </w:r>
            <w:r>
              <w:rPr>
                <w:rFonts w:hint="default" w:ascii="Times New Roman" w:hAnsi="Times New Roman" w:eastAsia="方正仿宋简体" w:cs="Times New Roman"/>
                <w:b/>
                <w:bCs/>
                <w:color w:val="000000"/>
                <w:sz w:val="24"/>
                <w:szCs w:val="24"/>
                <w:highlight w:val="none"/>
                <w:lang w:val="en-US"/>
              </w:rPr>
              <w:t>二）</w:t>
            </w:r>
            <w:r>
              <w:rPr>
                <w:rFonts w:hint="default" w:ascii="Times New Roman" w:hAnsi="Times New Roman" w:eastAsia="方正仿宋简体" w:cs="Times New Roman"/>
                <w:b/>
                <w:bCs/>
                <w:color w:val="000000"/>
                <w:sz w:val="24"/>
                <w:szCs w:val="24"/>
                <w:highlight w:val="none"/>
              </w:rPr>
              <w:t>公用经费</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4"/>
                <w:szCs w:val="24"/>
                <w:highlight w:val="none"/>
                <w:u w:val="none"/>
                <w:lang w:val="en-US" w:eastAsia="zh-CN" w:bidi="ar"/>
              </w:rPr>
            </w:pPr>
            <w:r>
              <w:rPr>
                <w:rFonts w:hint="default" w:ascii="Times New Roman" w:hAnsi="Times New Roman" w:eastAsia="方正仿宋简体" w:cs="Times New Roman"/>
                <w:b/>
                <w:bCs/>
                <w:i w:val="0"/>
                <w:iCs w:val="0"/>
                <w:color w:val="000000"/>
                <w:kern w:val="0"/>
                <w:sz w:val="24"/>
                <w:szCs w:val="24"/>
                <w:highlight w:val="none"/>
                <w:u w:val="none"/>
                <w:lang w:val="en-US" w:eastAsia="zh-CN" w:bidi="ar"/>
              </w:rPr>
              <w:t>145.51</w:t>
            </w:r>
          </w:p>
        </w:tc>
        <w:tc>
          <w:tcPr>
            <w:tcW w:w="728"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color w:val="000000"/>
                <w:sz w:val="24"/>
                <w:highlight w:val="none"/>
                <w:lang w:val="en-US"/>
              </w:rPr>
            </w:pPr>
            <w:r>
              <w:rPr>
                <w:rFonts w:hint="default" w:ascii="Times New Roman" w:hAnsi="Times New Roman" w:eastAsia="方正仿宋简体" w:cs="Times New Roman"/>
                <w:b/>
                <w:bCs/>
                <w:i w:val="0"/>
                <w:iCs w:val="0"/>
                <w:color w:val="000000"/>
                <w:kern w:val="0"/>
                <w:sz w:val="24"/>
                <w:szCs w:val="24"/>
                <w:highlight w:val="none"/>
                <w:u w:val="none"/>
                <w:lang w:val="en-US" w:eastAsia="zh-CN" w:bidi="ar"/>
              </w:rPr>
              <w:t>-1.88</w:t>
            </w:r>
          </w:p>
        </w:tc>
        <w:tc>
          <w:tcPr>
            <w:tcW w:w="860"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143.63</w:t>
            </w:r>
          </w:p>
        </w:tc>
        <w:tc>
          <w:tcPr>
            <w:tcW w:w="726"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143.53</w:t>
            </w:r>
          </w:p>
        </w:tc>
        <w:tc>
          <w:tcPr>
            <w:tcW w:w="666"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99.93%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305"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二、项目支出</w:t>
            </w:r>
          </w:p>
        </w:tc>
        <w:tc>
          <w:tcPr>
            <w:tcW w:w="712"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2258.3</w:t>
            </w:r>
          </w:p>
        </w:tc>
        <w:tc>
          <w:tcPr>
            <w:tcW w:w="728"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i w:val="0"/>
                <w:iCs w:val="0"/>
                <w:color w:val="000000"/>
                <w:kern w:val="0"/>
                <w:sz w:val="24"/>
                <w:szCs w:val="24"/>
                <w:highlight w:val="none"/>
                <w:u w:val="none"/>
                <w:lang w:val="en-US" w:eastAsia="zh-CN" w:bidi="ar"/>
              </w:rPr>
              <w:t>1475.22</w:t>
            </w:r>
          </w:p>
        </w:tc>
        <w:tc>
          <w:tcPr>
            <w:tcW w:w="860"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3733.52</w:t>
            </w:r>
          </w:p>
        </w:tc>
        <w:tc>
          <w:tcPr>
            <w:tcW w:w="726"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3696.51</w:t>
            </w:r>
          </w:p>
        </w:tc>
        <w:tc>
          <w:tcPr>
            <w:tcW w:w="666" w:type="pct"/>
            <w:noWrap w:val="0"/>
            <w:vAlign w:val="center"/>
          </w:tcPr>
          <w:p>
            <w:pPr>
              <w:widowControl/>
              <w:pBdr>
                <w:right w:val="single" w:color="auto" w:sz="4" w:space="4"/>
                <w:between w:val="single" w:color="auto" w:sz="4" w:space="1"/>
              </w:pBdr>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99.01%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5"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lang w:val="en-US"/>
              </w:rPr>
            </w:pPr>
            <w:r>
              <w:rPr>
                <w:rFonts w:hint="default" w:ascii="Times New Roman" w:hAnsi="Times New Roman" w:eastAsia="方正仿宋简体" w:cs="Times New Roman"/>
                <w:b/>
                <w:bCs/>
                <w:color w:val="000000"/>
                <w:sz w:val="24"/>
                <w:szCs w:val="24"/>
                <w:highlight w:val="none"/>
              </w:rPr>
              <w:t>本年支出合计</w:t>
            </w:r>
          </w:p>
        </w:tc>
        <w:tc>
          <w:tcPr>
            <w:tcW w:w="712"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3094.05</w:t>
            </w:r>
          </w:p>
        </w:tc>
        <w:tc>
          <w:tcPr>
            <w:tcW w:w="728"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i w:val="0"/>
                <w:iCs w:val="0"/>
                <w:color w:val="000000"/>
                <w:kern w:val="0"/>
                <w:sz w:val="24"/>
                <w:szCs w:val="24"/>
                <w:highlight w:val="none"/>
                <w:u w:val="none"/>
                <w:lang w:val="en-US" w:eastAsia="zh-CN" w:bidi="ar"/>
              </w:rPr>
              <w:t>1480.37</w:t>
            </w:r>
          </w:p>
        </w:tc>
        <w:tc>
          <w:tcPr>
            <w:tcW w:w="860"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4574.42</w:t>
            </w:r>
          </w:p>
        </w:tc>
        <w:tc>
          <w:tcPr>
            <w:tcW w:w="726"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4505.87</w:t>
            </w:r>
          </w:p>
        </w:tc>
        <w:tc>
          <w:tcPr>
            <w:tcW w:w="666" w:type="pct"/>
            <w:noWrap w:val="0"/>
            <w:vAlign w:val="center"/>
          </w:tcPr>
          <w:p>
            <w:pPr>
              <w:widowControl/>
              <w:pBdr>
                <w:right w:val="single" w:color="auto" w:sz="4" w:space="4"/>
                <w:between w:val="single" w:color="auto" w:sz="4" w:space="1"/>
              </w:pBdr>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98.50%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5" w:type="pct"/>
            <w:noWrap w:val="0"/>
            <w:vAlign w:val="center"/>
          </w:tcPr>
          <w:p>
            <w:pPr>
              <w:pStyle w:val="40"/>
              <w:spacing w:line="240" w:lineRule="auto"/>
              <w:rPr>
                <w:rFonts w:hint="default" w:ascii="Times New Roman" w:hAnsi="Times New Roman" w:eastAsia="方正仿宋简体" w:cs="Times New Roman"/>
                <w:b/>
                <w:bCs/>
                <w:color w:val="000000"/>
                <w:sz w:val="24"/>
                <w:szCs w:val="24"/>
                <w:highlight w:val="none"/>
                <w:lang w:val="en-US"/>
              </w:rPr>
            </w:pPr>
            <w:r>
              <w:rPr>
                <w:rFonts w:hint="default" w:ascii="Times New Roman" w:hAnsi="Times New Roman" w:eastAsia="方正仿宋简体" w:cs="Times New Roman"/>
                <w:b/>
                <w:bCs/>
                <w:color w:val="000000"/>
                <w:sz w:val="24"/>
                <w:szCs w:val="24"/>
                <w:highlight w:val="none"/>
                <w:lang w:val="en-US"/>
              </w:rPr>
              <w:t>三、年末结转和结余</w:t>
            </w:r>
          </w:p>
        </w:tc>
        <w:tc>
          <w:tcPr>
            <w:tcW w:w="712"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0</w:t>
            </w:r>
          </w:p>
        </w:tc>
        <w:tc>
          <w:tcPr>
            <w:tcW w:w="728" w:type="pct"/>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lang w:val="en-US" w:eastAsia="zh-CN"/>
              </w:rPr>
              <w:t>1.65</w:t>
            </w:r>
          </w:p>
        </w:tc>
        <w:tc>
          <w:tcPr>
            <w:tcW w:w="860"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lang w:val="en-US" w:eastAsia="zh-CN"/>
              </w:rPr>
              <w:t>1.65</w:t>
            </w:r>
          </w:p>
        </w:tc>
        <w:tc>
          <w:tcPr>
            <w:tcW w:w="726"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1.65</w:t>
            </w:r>
          </w:p>
        </w:tc>
        <w:tc>
          <w:tcPr>
            <w:tcW w:w="666" w:type="pct"/>
            <w:noWrap w:val="0"/>
            <w:vAlign w:val="center"/>
          </w:tcPr>
          <w:p>
            <w:pPr>
              <w:widowControl/>
              <w:pBdr>
                <w:between w:val="single" w:color="auto" w:sz="4" w:space="1"/>
              </w:pBdr>
              <w:jc w:val="center"/>
              <w:textAlignment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w:t>
            </w:r>
          </w:p>
        </w:tc>
      </w:tr>
      <w:bookmarkEnd w:id="6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6"/>
            <w:noWrap w:val="0"/>
            <w:vAlign w:val="center"/>
          </w:tcPr>
          <w:p>
            <w:pPr>
              <w:widowControl/>
              <w:jc w:val="left"/>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备注：执行中追加数=调整后预算数－年初预算数。</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76" w:lineRule="exact"/>
        <w:ind w:left="0" w:leftChars="0" w:firstLine="643" w:firstLineChars="200"/>
        <w:jc w:val="both"/>
        <w:textAlignment w:val="auto"/>
        <w:rPr>
          <w:rFonts w:hint="default" w:ascii="Times New Roman" w:hAnsi="Times New Roman" w:eastAsia="方正仿宋简体" w:cs="Times New Roman"/>
          <w:b/>
          <w:bCs/>
          <w:color w:val="000000"/>
          <w:kern w:val="0"/>
          <w:sz w:val="32"/>
          <w:szCs w:val="32"/>
          <w:highlight w:val="none"/>
          <w:lang w:val="en-US" w:eastAsia="zh-CN" w:bidi="ar"/>
        </w:rPr>
      </w:pPr>
      <w:bookmarkStart w:id="62" w:name="_Toc8190"/>
      <w:bookmarkStart w:id="63" w:name="_Toc114157846"/>
      <w:bookmarkStart w:id="64" w:name="_Toc17652"/>
      <w:bookmarkStart w:id="65" w:name="_Toc20716"/>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76" w:lineRule="exact"/>
        <w:ind w:left="0" w:leftChars="0" w:firstLine="643" w:firstLineChars="200"/>
        <w:jc w:val="both"/>
        <w:textAlignment w:val="auto"/>
        <w:rPr>
          <w:rFonts w:hint="default" w:ascii="Times New Roman" w:hAnsi="Times New Roman" w:eastAsia="方正楷体简体" w:cs="Times New Roman"/>
          <w:b/>
          <w:bCs/>
          <w:color w:val="000000"/>
          <w:sz w:val="32"/>
          <w:szCs w:val="32"/>
          <w:highlight w:val="none"/>
          <w:lang w:val="en-US" w:eastAsia="zh-CN"/>
        </w:rPr>
      </w:pPr>
      <w:r>
        <w:rPr>
          <w:rFonts w:hint="default" w:ascii="Times New Roman" w:hAnsi="Times New Roman" w:eastAsia="方正楷体简体" w:cs="Times New Roman"/>
          <w:b/>
          <w:bCs/>
          <w:color w:val="000000"/>
          <w:kern w:val="0"/>
          <w:sz w:val="32"/>
          <w:szCs w:val="32"/>
          <w:highlight w:val="none"/>
          <w:lang w:val="en-US" w:eastAsia="zh-CN" w:bidi="ar"/>
        </w:rPr>
        <w:t>（二）</w:t>
      </w:r>
      <w:r>
        <w:rPr>
          <w:rFonts w:hint="default" w:ascii="Times New Roman" w:hAnsi="Times New Roman" w:eastAsia="方正楷体简体" w:cs="Times New Roman"/>
          <w:b/>
          <w:bCs/>
          <w:color w:val="000000"/>
          <w:sz w:val="32"/>
          <w:szCs w:val="32"/>
          <w:highlight w:val="none"/>
          <w:lang w:val="en-US" w:eastAsia="zh-CN"/>
        </w:rPr>
        <w:t>预算执行情况</w:t>
      </w:r>
      <w:bookmarkEnd w:id="62"/>
      <w:bookmarkEnd w:id="63"/>
      <w:bookmarkEnd w:id="64"/>
      <w:bookmarkEnd w:id="65"/>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2024年市残联部门预算调整后为4574.42万元，实际支出4505.87万元，预算执行率为98.50%，年末结转结余1.65万元。具体情况见表1-3。其中：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1.基本支出809.36万元，占总支出的17.96%，预算执行率为96.25%。</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2.项目支出3696.51万元，占总支出的82.04%，预算执行率为99.01%。</w:t>
      </w:r>
    </w:p>
    <w:p>
      <w:pPr>
        <w:keepNext w:val="0"/>
        <w:keepLines w:val="0"/>
        <w:pageBreakBefore w:val="0"/>
        <w:widowControl w:val="0"/>
        <w:kinsoku/>
        <w:wordWrap/>
        <w:overflowPunct/>
        <w:topLinePunct w:val="0"/>
        <w:autoSpaceDE/>
        <w:autoSpaceDN/>
        <w:bidi w:val="0"/>
        <w:spacing w:beforeAutospacing="0" w:afterAutospacing="0" w:line="576" w:lineRule="exact"/>
        <w:jc w:val="center"/>
        <w:textAlignment w:val="auto"/>
        <w:rPr>
          <w:rFonts w:hint="default" w:ascii="Times New Roman" w:hAnsi="Times New Roman" w:eastAsia="方正仿宋简体" w:cs="Times New Roman"/>
          <w:b/>
          <w:bCs/>
          <w:color w:val="000000"/>
          <w:kern w:val="0"/>
          <w:sz w:val="32"/>
          <w:szCs w:val="32"/>
          <w:highlight w:val="none"/>
        </w:rPr>
      </w:pPr>
      <w:r>
        <w:rPr>
          <w:rFonts w:hint="default" w:ascii="Times New Roman" w:hAnsi="Times New Roman" w:eastAsia="方正仿宋简体" w:cs="Times New Roman"/>
          <w:b/>
          <w:bCs/>
          <w:color w:val="000000"/>
          <w:kern w:val="0"/>
          <w:sz w:val="32"/>
          <w:szCs w:val="32"/>
          <w:highlight w:val="none"/>
        </w:rPr>
        <w:t>表</w:t>
      </w:r>
      <w:r>
        <w:rPr>
          <w:rFonts w:hint="default" w:ascii="Times New Roman" w:hAnsi="Times New Roman" w:eastAsia="方正仿宋简体" w:cs="Times New Roman"/>
          <w:b/>
          <w:bCs/>
          <w:color w:val="000000"/>
          <w:kern w:val="0"/>
          <w:sz w:val="32"/>
          <w:szCs w:val="32"/>
          <w:highlight w:val="none"/>
          <w:lang w:val="en-US" w:eastAsia="zh-CN"/>
        </w:rPr>
        <w:t>1</w:t>
      </w:r>
      <w:r>
        <w:rPr>
          <w:rFonts w:hint="default" w:ascii="Times New Roman" w:hAnsi="Times New Roman" w:eastAsia="方正仿宋简体" w:cs="Times New Roman"/>
          <w:b/>
          <w:bCs/>
          <w:color w:val="000000"/>
          <w:kern w:val="0"/>
          <w:sz w:val="32"/>
          <w:szCs w:val="32"/>
          <w:highlight w:val="none"/>
        </w:rPr>
        <w:t xml:space="preserve">-3  </w:t>
      </w:r>
      <w:r>
        <w:rPr>
          <w:rFonts w:hint="default" w:ascii="Times New Roman" w:hAnsi="Times New Roman" w:eastAsia="方正仿宋简体" w:cs="Times New Roman"/>
          <w:b/>
          <w:bCs/>
          <w:color w:val="000000"/>
          <w:kern w:val="0"/>
          <w:sz w:val="32"/>
          <w:szCs w:val="32"/>
          <w:highlight w:val="none"/>
          <w:lang w:eastAsia="zh-CN"/>
        </w:rPr>
        <w:t>2024</w:t>
      </w:r>
      <w:r>
        <w:rPr>
          <w:rFonts w:hint="default" w:ascii="Times New Roman" w:hAnsi="Times New Roman" w:eastAsia="方正仿宋简体" w:cs="Times New Roman"/>
          <w:b/>
          <w:bCs/>
          <w:color w:val="000000"/>
          <w:kern w:val="0"/>
          <w:sz w:val="32"/>
          <w:szCs w:val="32"/>
          <w:highlight w:val="none"/>
        </w:rPr>
        <w:t>年市</w:t>
      </w:r>
      <w:r>
        <w:rPr>
          <w:rFonts w:hint="default" w:ascii="Times New Roman" w:hAnsi="Times New Roman" w:eastAsia="方正仿宋简体" w:cs="Times New Roman"/>
          <w:b/>
          <w:bCs/>
          <w:color w:val="000000"/>
          <w:kern w:val="0"/>
          <w:sz w:val="32"/>
          <w:szCs w:val="32"/>
          <w:highlight w:val="none"/>
          <w:lang w:val="en-US" w:eastAsia="zh-CN"/>
        </w:rPr>
        <w:t>残联部门</w:t>
      </w:r>
      <w:r>
        <w:rPr>
          <w:rFonts w:hint="default" w:ascii="Times New Roman" w:hAnsi="Times New Roman" w:eastAsia="方正仿宋简体" w:cs="Times New Roman"/>
          <w:b/>
          <w:bCs/>
          <w:color w:val="000000"/>
          <w:kern w:val="0"/>
          <w:sz w:val="32"/>
          <w:szCs w:val="32"/>
          <w:highlight w:val="none"/>
        </w:rPr>
        <w:t>预算执行情况表</w:t>
      </w:r>
    </w:p>
    <w:p>
      <w:pPr>
        <w:spacing w:line="600" w:lineRule="exact"/>
        <w:ind w:firstLine="562" w:firstLineChars="200"/>
        <w:jc w:val="right"/>
        <w:rPr>
          <w:rFonts w:hint="default" w:ascii="Times New Roman" w:hAnsi="Times New Roman" w:eastAsia="方正仿宋简体" w:cs="Times New Roman"/>
          <w:b/>
          <w:bCs/>
          <w:color w:val="000000"/>
          <w:sz w:val="28"/>
          <w:szCs w:val="28"/>
          <w:highlight w:val="none"/>
        </w:rPr>
      </w:pPr>
      <w:r>
        <w:rPr>
          <w:rFonts w:hint="default" w:ascii="Times New Roman" w:hAnsi="Times New Roman" w:eastAsia="方正仿宋简体" w:cs="Times New Roman"/>
          <w:b/>
          <w:bCs/>
          <w:color w:val="000000"/>
          <w:sz w:val="28"/>
          <w:szCs w:val="28"/>
          <w:highlight w:val="none"/>
        </w:rPr>
        <w:t>单位：万元</w:t>
      </w:r>
    </w:p>
    <w:tbl>
      <w:tblPr>
        <w:tblStyle w:val="19"/>
        <w:tblW w:w="50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1793"/>
        <w:gridCol w:w="1566"/>
        <w:gridCol w:w="1553"/>
        <w:gridCol w:w="103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trPr>
        <w:tc>
          <w:tcPr>
            <w:tcW w:w="1098"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类别</w:t>
            </w:r>
          </w:p>
        </w:tc>
        <w:tc>
          <w:tcPr>
            <w:tcW w:w="982"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调整后预算数</w:t>
            </w:r>
          </w:p>
        </w:tc>
        <w:tc>
          <w:tcPr>
            <w:tcW w:w="858"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实际支出数</w:t>
            </w:r>
          </w:p>
        </w:tc>
        <w:tc>
          <w:tcPr>
            <w:tcW w:w="851"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预算执行率</w:t>
            </w:r>
          </w:p>
        </w:tc>
        <w:tc>
          <w:tcPr>
            <w:tcW w:w="567"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结转额</w:t>
            </w:r>
          </w:p>
        </w:tc>
        <w:tc>
          <w:tcPr>
            <w:tcW w:w="642"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结余额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98"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一、基本支出</w:t>
            </w:r>
          </w:p>
        </w:tc>
        <w:tc>
          <w:tcPr>
            <w:tcW w:w="982"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840.9</w:t>
            </w:r>
          </w:p>
        </w:tc>
        <w:tc>
          <w:tcPr>
            <w:tcW w:w="858"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809.36</w:t>
            </w:r>
          </w:p>
        </w:tc>
        <w:tc>
          <w:tcPr>
            <w:tcW w:w="851"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96.25%</w:t>
            </w:r>
          </w:p>
        </w:tc>
        <w:tc>
          <w:tcPr>
            <w:tcW w:w="567"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rPr>
            </w:pPr>
          </w:p>
        </w:tc>
        <w:tc>
          <w:tcPr>
            <w:tcW w:w="642" w:type="pct"/>
            <w:noWrap w:val="0"/>
            <w:vAlign w:val="bottom"/>
          </w:tcPr>
          <w:p>
            <w:pPr>
              <w:widowControl/>
              <w:jc w:val="center"/>
              <w:textAlignment w:val="center"/>
              <w:rPr>
                <w:rFonts w:hint="default" w:ascii="Times New Roman" w:hAnsi="Times New Roman" w:eastAsia="方正仿宋简体" w:cs="Times New Roman"/>
                <w:b/>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98"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二、项目支出</w:t>
            </w:r>
          </w:p>
        </w:tc>
        <w:tc>
          <w:tcPr>
            <w:tcW w:w="982"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3733.52</w:t>
            </w:r>
          </w:p>
        </w:tc>
        <w:tc>
          <w:tcPr>
            <w:tcW w:w="858"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3696.51</w:t>
            </w:r>
          </w:p>
        </w:tc>
        <w:tc>
          <w:tcPr>
            <w:tcW w:w="851"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99.01%</w:t>
            </w:r>
          </w:p>
        </w:tc>
        <w:tc>
          <w:tcPr>
            <w:tcW w:w="567"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p>
        </w:tc>
        <w:tc>
          <w:tcPr>
            <w:tcW w:w="642"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98" w:type="pct"/>
            <w:noWrap w:val="0"/>
            <w:vAlign w:val="center"/>
          </w:tcPr>
          <w:p>
            <w:pPr>
              <w:spacing w:line="300" w:lineRule="exact"/>
              <w:jc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合计</w:t>
            </w:r>
          </w:p>
        </w:tc>
        <w:tc>
          <w:tcPr>
            <w:tcW w:w="982" w:type="pct"/>
            <w:shd w:val="clear" w:color="auto" w:fill="auto"/>
            <w:noWrap w:val="0"/>
            <w:vAlign w:val="center"/>
          </w:tcPr>
          <w:p>
            <w:pPr>
              <w:widowControl/>
              <w:jc w:val="center"/>
              <w:textAlignment w:val="center"/>
              <w:rPr>
                <w:rFonts w:hint="default" w:ascii="Times New Roman" w:hAnsi="Times New Roman" w:eastAsia="方正仿宋简体" w:cs="Times New Roman"/>
                <w:b/>
                <w:bCs/>
                <w:color w:val="000000"/>
                <w:kern w:val="2"/>
                <w:sz w:val="24"/>
                <w:szCs w:val="24"/>
                <w:highlight w:val="none"/>
                <w:lang w:val="en-US" w:eastAsia="zh-CN" w:bidi="ar-SA"/>
              </w:rPr>
            </w:pPr>
            <w:r>
              <w:rPr>
                <w:rFonts w:hint="default" w:ascii="Times New Roman" w:hAnsi="Times New Roman" w:eastAsia="方正仿宋简体" w:cs="Times New Roman"/>
                <w:b/>
                <w:bCs/>
                <w:color w:val="000000"/>
                <w:sz w:val="24"/>
                <w:highlight w:val="none"/>
                <w:lang w:val="en-US" w:eastAsia="zh-CN"/>
              </w:rPr>
              <w:t>4574.42</w:t>
            </w:r>
          </w:p>
        </w:tc>
        <w:tc>
          <w:tcPr>
            <w:tcW w:w="858" w:type="pct"/>
            <w:shd w:val="clear" w:color="auto" w:fill="auto"/>
            <w:noWrap w:val="0"/>
            <w:vAlign w:val="center"/>
          </w:tcPr>
          <w:p>
            <w:pPr>
              <w:widowControl/>
              <w:jc w:val="center"/>
              <w:textAlignment w:val="center"/>
              <w:rPr>
                <w:rFonts w:hint="default" w:ascii="Times New Roman" w:hAnsi="Times New Roman" w:eastAsia="方正仿宋简体" w:cs="Times New Roman"/>
                <w:b/>
                <w:bCs/>
                <w:color w:val="000000"/>
                <w:kern w:val="2"/>
                <w:sz w:val="24"/>
                <w:szCs w:val="24"/>
                <w:highlight w:val="none"/>
                <w:lang w:val="en-US" w:eastAsia="zh-CN" w:bidi="ar-SA"/>
              </w:rPr>
            </w:pPr>
            <w:r>
              <w:rPr>
                <w:rFonts w:hint="default" w:ascii="Times New Roman" w:hAnsi="Times New Roman" w:eastAsia="方正仿宋简体" w:cs="Times New Roman"/>
                <w:b/>
                <w:bCs/>
                <w:color w:val="000000"/>
                <w:sz w:val="24"/>
                <w:highlight w:val="none"/>
                <w:lang w:val="en-US" w:eastAsia="zh-CN"/>
              </w:rPr>
              <w:t>4505.87</w:t>
            </w:r>
          </w:p>
        </w:tc>
        <w:tc>
          <w:tcPr>
            <w:tcW w:w="851"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98.5%</w:t>
            </w:r>
          </w:p>
        </w:tc>
        <w:tc>
          <w:tcPr>
            <w:tcW w:w="567"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r>
              <w:rPr>
                <w:rFonts w:hint="default" w:ascii="Times New Roman" w:hAnsi="Times New Roman" w:eastAsia="方正仿宋简体" w:cs="Times New Roman"/>
                <w:b/>
                <w:bCs/>
                <w:color w:val="000000"/>
                <w:sz w:val="24"/>
                <w:highlight w:val="none"/>
                <w:lang w:val="en-US" w:eastAsia="zh-CN"/>
              </w:rPr>
              <w:t>1.65</w:t>
            </w:r>
          </w:p>
        </w:tc>
        <w:tc>
          <w:tcPr>
            <w:tcW w:w="642" w:type="pct"/>
            <w:noWrap w:val="0"/>
            <w:vAlign w:val="center"/>
          </w:tcPr>
          <w:p>
            <w:pPr>
              <w:widowControl/>
              <w:jc w:val="center"/>
              <w:textAlignment w:val="center"/>
              <w:rPr>
                <w:rFonts w:hint="default" w:ascii="Times New Roman" w:hAnsi="Times New Roman" w:eastAsia="方正仿宋简体" w:cs="Times New Roman"/>
                <w:b/>
                <w:bCs/>
                <w:color w:val="000000"/>
                <w:sz w:val="24"/>
                <w:highlight w:val="no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2024年，市残联部门年初计划开展项目数16个，最终实际开展项目数18个，具体项目情况及执行情况见下表1-4。</w:t>
      </w:r>
    </w:p>
    <w:p>
      <w:pPr>
        <w:keepNext w:val="0"/>
        <w:keepLines w:val="0"/>
        <w:pageBreakBefore w:val="0"/>
        <w:widowControl w:val="0"/>
        <w:kinsoku/>
        <w:wordWrap/>
        <w:overflowPunct/>
        <w:topLinePunct w:val="0"/>
        <w:autoSpaceDE/>
        <w:autoSpaceDN/>
        <w:bidi w:val="0"/>
        <w:spacing w:beforeAutospacing="0" w:afterAutospacing="0" w:line="576" w:lineRule="exact"/>
        <w:jc w:val="center"/>
        <w:textAlignment w:val="auto"/>
        <w:rPr>
          <w:rFonts w:hint="default" w:ascii="Times New Roman" w:hAnsi="Times New Roman" w:eastAsia="方正仿宋简体" w:cs="Times New Roman"/>
          <w:b/>
          <w:bCs/>
          <w:color w:val="000000"/>
          <w:kern w:val="0"/>
          <w:sz w:val="32"/>
          <w:szCs w:val="32"/>
          <w:highlight w:val="none"/>
          <w:lang w:val="en-US" w:eastAsia="zh-CN"/>
        </w:rPr>
      </w:pPr>
    </w:p>
    <w:p>
      <w:pPr>
        <w:keepNext w:val="0"/>
        <w:keepLines w:val="0"/>
        <w:pageBreakBefore w:val="0"/>
        <w:widowControl w:val="0"/>
        <w:kinsoku/>
        <w:wordWrap/>
        <w:overflowPunct/>
        <w:topLinePunct w:val="0"/>
        <w:autoSpaceDE/>
        <w:autoSpaceDN/>
        <w:bidi w:val="0"/>
        <w:spacing w:beforeAutospacing="0" w:afterAutospacing="0" w:line="576" w:lineRule="exact"/>
        <w:jc w:val="center"/>
        <w:textAlignment w:val="auto"/>
        <w:rPr>
          <w:rFonts w:hint="default" w:ascii="Times New Roman" w:hAnsi="Times New Roman" w:eastAsia="方正仿宋简体" w:cs="Times New Roman"/>
          <w:b/>
          <w:bCs/>
          <w:color w:val="000000"/>
          <w:kern w:val="0"/>
          <w:sz w:val="32"/>
          <w:szCs w:val="32"/>
          <w:highlight w:val="none"/>
          <w:lang w:val="en-US" w:eastAsia="zh-CN"/>
        </w:rPr>
      </w:pPr>
    </w:p>
    <w:p>
      <w:pPr>
        <w:keepNext w:val="0"/>
        <w:keepLines w:val="0"/>
        <w:pageBreakBefore w:val="0"/>
        <w:widowControl w:val="0"/>
        <w:kinsoku/>
        <w:wordWrap/>
        <w:overflowPunct/>
        <w:topLinePunct w:val="0"/>
        <w:autoSpaceDE/>
        <w:autoSpaceDN/>
        <w:bidi w:val="0"/>
        <w:spacing w:beforeAutospacing="0" w:afterAutospacing="0" w:line="576" w:lineRule="exact"/>
        <w:jc w:val="center"/>
        <w:textAlignment w:val="auto"/>
        <w:rPr>
          <w:rFonts w:hint="default" w:ascii="Times New Roman" w:hAnsi="Times New Roman" w:eastAsia="方正仿宋简体" w:cs="Times New Roman"/>
          <w:b/>
          <w:bCs/>
          <w:color w:val="000000"/>
          <w:kern w:val="0"/>
          <w:sz w:val="32"/>
          <w:szCs w:val="32"/>
          <w:highlight w:val="none"/>
        </w:rPr>
      </w:pPr>
      <w:r>
        <w:rPr>
          <w:rFonts w:hint="default" w:ascii="Times New Roman" w:hAnsi="Times New Roman" w:eastAsia="方正仿宋简体" w:cs="Times New Roman"/>
          <w:b/>
          <w:bCs/>
          <w:color w:val="000000"/>
          <w:kern w:val="0"/>
          <w:sz w:val="32"/>
          <w:szCs w:val="32"/>
          <w:highlight w:val="none"/>
          <w:lang w:val="en-US" w:eastAsia="zh-CN"/>
        </w:rPr>
        <w:t>表1</w:t>
      </w:r>
      <w:r>
        <w:rPr>
          <w:rFonts w:hint="default" w:ascii="Times New Roman" w:hAnsi="Times New Roman" w:eastAsia="方正仿宋简体" w:cs="Times New Roman"/>
          <w:b/>
          <w:bCs/>
          <w:color w:val="000000"/>
          <w:kern w:val="0"/>
          <w:sz w:val="32"/>
          <w:szCs w:val="32"/>
          <w:highlight w:val="none"/>
        </w:rPr>
        <w:t xml:space="preserve">-4 </w:t>
      </w:r>
      <w:r>
        <w:rPr>
          <w:rFonts w:hint="default" w:ascii="Times New Roman" w:hAnsi="Times New Roman" w:eastAsia="方正仿宋简体" w:cs="Times New Roman"/>
          <w:b/>
          <w:bCs/>
          <w:color w:val="000000"/>
          <w:kern w:val="0"/>
          <w:sz w:val="32"/>
          <w:szCs w:val="32"/>
          <w:highlight w:val="none"/>
          <w:lang w:val="en-US"/>
        </w:rPr>
        <w:t xml:space="preserve"> </w:t>
      </w:r>
      <w:r>
        <w:rPr>
          <w:rFonts w:hint="default" w:ascii="Times New Roman" w:hAnsi="Times New Roman" w:eastAsia="方正仿宋简体" w:cs="Times New Roman"/>
          <w:b/>
          <w:bCs/>
          <w:color w:val="000000"/>
          <w:kern w:val="0"/>
          <w:sz w:val="32"/>
          <w:szCs w:val="32"/>
          <w:highlight w:val="none"/>
          <w:lang w:eastAsia="zh-CN"/>
        </w:rPr>
        <w:t>2024</w:t>
      </w:r>
      <w:r>
        <w:rPr>
          <w:rFonts w:hint="default" w:ascii="Times New Roman" w:hAnsi="Times New Roman" w:eastAsia="方正仿宋简体" w:cs="Times New Roman"/>
          <w:b/>
          <w:bCs/>
          <w:color w:val="000000"/>
          <w:kern w:val="0"/>
          <w:sz w:val="32"/>
          <w:szCs w:val="32"/>
          <w:highlight w:val="none"/>
        </w:rPr>
        <w:t>年</w:t>
      </w:r>
      <w:r>
        <w:rPr>
          <w:rFonts w:hint="default" w:ascii="Times New Roman" w:hAnsi="Times New Roman" w:eastAsia="方正仿宋简体" w:cs="Times New Roman"/>
          <w:b/>
          <w:bCs/>
          <w:color w:val="000000"/>
          <w:kern w:val="0"/>
          <w:sz w:val="32"/>
          <w:szCs w:val="32"/>
          <w:highlight w:val="none"/>
          <w:lang w:val="en-US" w:eastAsia="zh-CN"/>
        </w:rPr>
        <w:t>市残联部门</w:t>
      </w:r>
      <w:r>
        <w:rPr>
          <w:rFonts w:hint="default" w:ascii="Times New Roman" w:hAnsi="Times New Roman" w:eastAsia="方正仿宋简体" w:cs="Times New Roman"/>
          <w:b/>
          <w:bCs/>
          <w:color w:val="000000"/>
          <w:kern w:val="0"/>
          <w:sz w:val="32"/>
          <w:szCs w:val="32"/>
          <w:highlight w:val="none"/>
        </w:rPr>
        <w:t>项目预算执行情况表</w:t>
      </w:r>
    </w:p>
    <w:p>
      <w:pPr>
        <w:spacing w:line="560" w:lineRule="exact"/>
        <w:ind w:firstLine="562" w:firstLineChars="200"/>
        <w:jc w:val="right"/>
        <w:rPr>
          <w:rFonts w:hint="default" w:ascii="Times New Roman" w:hAnsi="Times New Roman" w:eastAsia="方正仿宋简体" w:cs="Times New Roman"/>
          <w:b/>
          <w:bCs/>
          <w:color w:val="000000"/>
          <w:sz w:val="28"/>
          <w:szCs w:val="28"/>
          <w:highlight w:val="none"/>
        </w:rPr>
      </w:pPr>
      <w:r>
        <w:rPr>
          <w:rFonts w:hint="default" w:ascii="Times New Roman" w:hAnsi="Times New Roman" w:eastAsia="方正仿宋简体" w:cs="Times New Roman"/>
          <w:b/>
          <w:bCs/>
          <w:color w:val="000000"/>
          <w:sz w:val="28"/>
          <w:szCs w:val="28"/>
          <w:highlight w:val="none"/>
          <w:lang w:val="en-US" w:eastAsia="zh-CN"/>
        </w:rPr>
        <w:t xml:space="preserve">                </w:t>
      </w:r>
      <w:r>
        <w:rPr>
          <w:rFonts w:hint="default" w:ascii="Times New Roman" w:hAnsi="Times New Roman" w:eastAsia="方正仿宋简体" w:cs="Times New Roman"/>
          <w:b/>
          <w:bCs/>
          <w:color w:val="000000"/>
          <w:sz w:val="28"/>
          <w:szCs w:val="28"/>
          <w:highlight w:val="none"/>
        </w:rPr>
        <w:t>单位：万元</w:t>
      </w:r>
    </w:p>
    <w:tbl>
      <w:tblPr>
        <w:tblStyle w:val="19"/>
        <w:tblpPr w:leftFromText="180" w:rightFromText="180" w:vertAnchor="text" w:horzAnchor="page" w:tblpX="1788" w:tblpY="4"/>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412"/>
        <w:gridCol w:w="1514"/>
        <w:gridCol w:w="1268"/>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trPr>
        <w:tc>
          <w:tcPr>
            <w:tcW w:w="817"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序号</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项目名称</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调整</w:t>
            </w:r>
            <w:r>
              <w:rPr>
                <w:rFonts w:hint="default" w:ascii="Times New Roman" w:hAnsi="Times New Roman" w:eastAsia="方正仿宋简体" w:cs="Times New Roman"/>
                <w:b/>
                <w:bCs/>
                <w:color w:val="000000"/>
                <w:kern w:val="0"/>
                <w:sz w:val="24"/>
                <w:highlight w:val="none"/>
                <w:lang w:val="en-US" w:eastAsia="zh-CN"/>
              </w:rPr>
              <w:t>后</w:t>
            </w:r>
            <w:r>
              <w:rPr>
                <w:rFonts w:hint="default" w:ascii="Times New Roman" w:hAnsi="Times New Roman" w:eastAsia="方正仿宋简体" w:cs="Times New Roman"/>
                <w:b/>
                <w:bCs/>
                <w:color w:val="000000"/>
                <w:kern w:val="0"/>
                <w:sz w:val="24"/>
                <w:highlight w:val="none"/>
              </w:rPr>
              <w:t>预算</w:t>
            </w:r>
          </w:p>
        </w:tc>
        <w:tc>
          <w:tcPr>
            <w:tcW w:w="1268" w:type="dxa"/>
            <w:noWrap w:val="0"/>
            <w:vAlign w:val="center"/>
          </w:tcPr>
          <w:p>
            <w:pPr>
              <w:widowControl/>
              <w:spacing w:line="320" w:lineRule="exact"/>
              <w:jc w:val="both"/>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实际支出</w:t>
            </w:r>
          </w:p>
        </w:tc>
        <w:tc>
          <w:tcPr>
            <w:tcW w:w="1187"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1</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圆梦助学工程</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629.2</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629.2</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2</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残疾人康复救助</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96.64</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3</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残疾人组织、维权及宣文体经费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504.99</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504.40</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eastAsia="zh-CN"/>
              </w:rPr>
            </w:pPr>
            <w:r>
              <w:rPr>
                <w:rFonts w:hint="default" w:ascii="Times New Roman" w:hAnsi="Times New Roman" w:eastAsia="方正仿宋简体" w:cs="Times New Roman"/>
                <w:b/>
                <w:bCs/>
                <w:color w:val="000000"/>
                <w:kern w:val="0"/>
                <w:sz w:val="24"/>
                <w:highlight w:val="none"/>
                <w:lang w:val="en-US" w:eastAsia="zh-CN"/>
              </w:rPr>
              <w:t>4</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量服及规范化、信息化建设</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70</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69.08</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eastAsia="zh-CN"/>
              </w:rPr>
            </w:pPr>
            <w:r>
              <w:rPr>
                <w:rFonts w:hint="default" w:ascii="Times New Roman" w:hAnsi="Times New Roman" w:eastAsia="方正仿宋简体" w:cs="Times New Roman"/>
                <w:b/>
                <w:bCs/>
                <w:color w:val="000000"/>
                <w:kern w:val="0"/>
                <w:sz w:val="24"/>
                <w:highlight w:val="none"/>
                <w:lang w:val="en-US" w:eastAsia="zh-CN"/>
              </w:rPr>
              <w:t>5</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驻村工作经费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2.5</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2.5</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6</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市级部门教育培训经费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15</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15</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7</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泸州市第八届残疾人运动会经费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80</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78.23</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eastAsia="zh-CN"/>
              </w:rPr>
            </w:pPr>
            <w:r>
              <w:rPr>
                <w:rFonts w:hint="default" w:ascii="Times New Roman" w:hAnsi="Times New Roman" w:eastAsia="方正仿宋简体" w:cs="Times New Roman"/>
                <w:b/>
                <w:bCs/>
                <w:color w:val="000000"/>
                <w:kern w:val="0"/>
                <w:sz w:val="24"/>
                <w:highlight w:val="none"/>
                <w:lang w:val="en-US" w:eastAsia="zh-CN"/>
              </w:rPr>
              <w:t>8</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lang w:eastAsia="zh-CN"/>
              </w:rPr>
              <w:t>省级残疾人事业发展补助资金（体彩）</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193.5</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193.5</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eastAsia="zh-CN"/>
              </w:rPr>
            </w:pPr>
            <w:r>
              <w:rPr>
                <w:rFonts w:hint="default" w:ascii="Times New Roman" w:hAnsi="Times New Roman" w:eastAsia="方正仿宋简体" w:cs="Times New Roman"/>
                <w:b/>
                <w:bCs/>
                <w:color w:val="000000"/>
                <w:kern w:val="0"/>
                <w:sz w:val="24"/>
                <w:highlight w:val="none"/>
                <w:lang w:val="en-US" w:eastAsia="zh-CN"/>
              </w:rPr>
              <w:t>9</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残疾人就业创业扶持</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284.13</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284.13</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残疾人职业技能和实用技术培训</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58.83</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57.68</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11</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残保金征收及残疾人就业扶持工作经费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75.39</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75.39</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12</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szCs w:val="24"/>
                <w:highlight w:val="none"/>
                <w:lang w:val="en-US" w:eastAsia="zh-CN" w:bidi="ar-SA"/>
              </w:rPr>
            </w:pPr>
            <w:r>
              <w:rPr>
                <w:rFonts w:hint="default" w:ascii="Times New Roman" w:hAnsi="Times New Roman" w:eastAsia="方正仿宋简体" w:cs="Times New Roman"/>
                <w:b/>
                <w:bCs/>
                <w:color w:val="000000"/>
                <w:kern w:val="0"/>
                <w:sz w:val="24"/>
                <w:highlight w:val="none"/>
              </w:rPr>
              <w:t>市本级托养中心保障运行经费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31</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28.66</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13</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kern w:val="0"/>
                <w:sz w:val="24"/>
                <w:highlight w:val="none"/>
              </w:rPr>
              <w:t>泸州市残疾人托养服务中心建设项目</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948.54</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932.31</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14</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szCs w:val="24"/>
                <w:highlight w:val="none"/>
                <w:lang w:val="en-US" w:eastAsia="zh-CN" w:bidi="ar-SA"/>
              </w:rPr>
            </w:pPr>
            <w:r>
              <w:rPr>
                <w:rFonts w:hint="default" w:ascii="Times New Roman" w:hAnsi="Times New Roman" w:eastAsia="方正仿宋简体" w:cs="Times New Roman"/>
                <w:b/>
                <w:bCs/>
                <w:color w:val="000000"/>
                <w:kern w:val="0"/>
                <w:sz w:val="24"/>
                <w:highlight w:val="none"/>
              </w:rPr>
              <w:t>残疾儿童康复救助经费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454.50</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444.50</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15</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szCs w:val="24"/>
                <w:highlight w:val="none"/>
                <w:lang w:val="en-US" w:eastAsia="zh-CN" w:bidi="ar-SA"/>
              </w:rPr>
            </w:pPr>
            <w:r>
              <w:rPr>
                <w:rFonts w:hint="default" w:ascii="Times New Roman" w:hAnsi="Times New Roman" w:eastAsia="方正仿宋简体" w:cs="Times New Roman"/>
                <w:b/>
                <w:bCs/>
                <w:color w:val="000000"/>
                <w:kern w:val="0"/>
                <w:sz w:val="24"/>
                <w:highlight w:val="none"/>
              </w:rPr>
              <w:t>精准康复及残疾人辅具中心经费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89.50</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89.43</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16</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szCs w:val="24"/>
                <w:highlight w:val="none"/>
                <w:lang w:val="en-US" w:eastAsia="zh-CN" w:bidi="ar-SA"/>
              </w:rPr>
            </w:pPr>
            <w:r>
              <w:rPr>
                <w:rFonts w:hint="default" w:ascii="Times New Roman" w:hAnsi="Times New Roman" w:eastAsia="方正仿宋简体" w:cs="Times New Roman"/>
                <w:b/>
                <w:bCs/>
                <w:color w:val="000000"/>
                <w:kern w:val="0"/>
                <w:sz w:val="24"/>
                <w:highlight w:val="none"/>
              </w:rPr>
              <w:t>康复中心保障运行经费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23.89</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23.89</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17</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rPr>
            </w:pPr>
            <w:r>
              <w:rPr>
                <w:rFonts w:hint="default" w:ascii="Times New Roman" w:hAnsi="Times New Roman" w:eastAsia="方正仿宋简体" w:cs="Times New Roman"/>
                <w:b/>
                <w:bCs/>
                <w:color w:val="000000"/>
                <w:spacing w:val="-11"/>
                <w:kern w:val="0"/>
                <w:sz w:val="24"/>
                <w:highlight w:val="none"/>
              </w:rPr>
              <w:t>中央和省级财政残疾人事业发展补助资金</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93.45</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93.45</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18</w:t>
            </w:r>
          </w:p>
        </w:tc>
        <w:tc>
          <w:tcPr>
            <w:tcW w:w="4412"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szCs w:val="24"/>
                <w:highlight w:val="none"/>
                <w:lang w:val="en-US" w:eastAsia="zh-CN" w:bidi="ar-SA"/>
              </w:rPr>
            </w:pPr>
            <w:r>
              <w:rPr>
                <w:rFonts w:hint="default" w:ascii="Times New Roman" w:hAnsi="Times New Roman" w:eastAsia="方正仿宋简体" w:cs="Times New Roman"/>
                <w:b/>
                <w:bCs/>
                <w:color w:val="000000"/>
                <w:kern w:val="0"/>
                <w:sz w:val="24"/>
                <w:highlight w:val="none"/>
              </w:rPr>
              <w:t>市残疾人文化艺术中心运行经费</w:t>
            </w:r>
          </w:p>
        </w:tc>
        <w:tc>
          <w:tcPr>
            <w:tcW w:w="1514"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79.11</w:t>
            </w:r>
          </w:p>
        </w:tc>
        <w:tc>
          <w:tcPr>
            <w:tcW w:w="1268" w:type="dxa"/>
            <w:noWrap w:val="0"/>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78.53</w:t>
            </w:r>
          </w:p>
        </w:tc>
        <w:tc>
          <w:tcPr>
            <w:tcW w:w="1187" w:type="dxa"/>
            <w:noWrap/>
            <w:vAlign w:val="center"/>
          </w:tcPr>
          <w:p>
            <w:pPr>
              <w:widowControl/>
              <w:spacing w:line="320" w:lineRule="exact"/>
              <w:jc w:val="center"/>
              <w:rPr>
                <w:rFonts w:hint="default" w:ascii="Times New Roman" w:hAnsi="Times New Roman" w:eastAsia="方正仿宋简体" w:cs="Times New Roman"/>
                <w:b/>
                <w:bCs/>
                <w:color w:val="000000"/>
                <w:kern w:val="0"/>
                <w:sz w:val="24"/>
                <w:highlight w:val="none"/>
                <w:lang w:val="en-US" w:eastAsia="zh-CN"/>
              </w:rPr>
            </w:pPr>
            <w:r>
              <w:rPr>
                <w:rFonts w:hint="default" w:ascii="Times New Roman" w:hAnsi="Times New Roman" w:eastAsia="方正仿宋简体" w:cs="Times New Roman"/>
                <w:b/>
                <w:bCs/>
                <w:color w:val="000000"/>
                <w:kern w:val="0"/>
                <w:sz w:val="24"/>
                <w:highlight w:val="none"/>
                <w:lang w:val="en-US" w:eastAsia="zh-CN"/>
              </w:rPr>
              <w:t>99.27%</w:t>
            </w:r>
          </w:p>
        </w:tc>
      </w:tr>
    </w:tbl>
    <w:p>
      <w:pPr>
        <w:pStyle w:val="4"/>
        <w:keepNext w:val="0"/>
        <w:keepLines w:val="0"/>
        <w:pageBreakBefore w:val="0"/>
        <w:widowControl w:val="0"/>
        <w:numPr>
          <w:ilvl w:val="0"/>
          <w:numId w:val="0"/>
        </w:numPr>
        <w:kinsoku/>
        <w:wordWrap/>
        <w:overflowPunct/>
        <w:topLinePunct w:val="0"/>
        <w:autoSpaceDE/>
        <w:autoSpaceDN/>
        <w:bidi w:val="0"/>
        <w:spacing w:before="0" w:beforeAutospacing="0" w:after="0" w:afterAutospacing="0" w:line="560" w:lineRule="exact"/>
        <w:ind w:left="0" w:leftChars="0" w:firstLine="643" w:firstLineChars="200"/>
        <w:jc w:val="both"/>
        <w:textAlignment w:val="auto"/>
        <w:rPr>
          <w:rFonts w:hint="default" w:ascii="Times New Roman" w:hAnsi="Times New Roman" w:eastAsia="方正楷体简体" w:cs="Times New Roman"/>
          <w:b/>
          <w:bCs/>
          <w:color w:val="000000"/>
          <w:kern w:val="0"/>
          <w:sz w:val="32"/>
          <w:szCs w:val="32"/>
          <w:highlight w:val="none"/>
          <w:lang w:val="en-US" w:eastAsia="zh-CN" w:bidi="ar"/>
        </w:rPr>
      </w:pPr>
      <w:r>
        <w:rPr>
          <w:rFonts w:hint="default" w:ascii="Times New Roman" w:hAnsi="Times New Roman" w:eastAsia="方正楷体简体" w:cs="Times New Roman"/>
          <w:b/>
          <w:bCs/>
          <w:color w:val="000000"/>
          <w:kern w:val="0"/>
          <w:sz w:val="32"/>
          <w:szCs w:val="32"/>
          <w:highlight w:val="none"/>
          <w:lang w:val="en-US" w:eastAsia="zh-CN" w:bidi="ar"/>
        </w:rPr>
        <w:t>（三）</w:t>
      </w:r>
      <w:r>
        <w:rPr>
          <w:rFonts w:hint="default" w:ascii="Times New Roman" w:hAnsi="Times New Roman" w:eastAsia="方正楷体简体" w:cs="Times New Roman"/>
          <w:b/>
          <w:bCs/>
          <w:sz w:val="32"/>
          <w:szCs w:val="32"/>
          <w:highlight w:val="none"/>
          <w:lang w:val="en-US" w:eastAsia="zh-CN"/>
        </w:rPr>
        <w:t>资金结余和结转使用情况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2024年市残联部门年末结转和结余为1.65万元。主要是以往年度遗留问题，该笔资金为其他应收款，因暂无法收回列入年末结转和结余。</w:t>
      </w:r>
    </w:p>
    <w:p>
      <w:pPr>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right="0" w:firstLine="643" w:firstLineChars="200"/>
        <w:contextualSpacing/>
        <w:jc w:val="both"/>
        <w:textAlignment w:val="auto"/>
        <w:rPr>
          <w:rFonts w:hint="default" w:ascii="Times New Roman" w:hAnsi="Times New Roman" w:eastAsia="黑体" w:cs="Times New Roman"/>
          <w:b/>
          <w:bCs/>
          <w:color w:val="auto"/>
          <w:kern w:val="0"/>
          <w:sz w:val="32"/>
          <w:szCs w:val="32"/>
          <w:highlight w:val="none"/>
          <w:shd w:val="clear" w:color="auto" w:fill="FFFFFF"/>
          <w:lang w:val="zh-CN"/>
        </w:rPr>
      </w:pPr>
      <w:r>
        <w:rPr>
          <w:rFonts w:hint="default" w:ascii="Times New Roman" w:hAnsi="Times New Roman" w:eastAsia="黑体" w:cs="Times New Roman"/>
          <w:b/>
          <w:bCs/>
          <w:color w:val="auto"/>
          <w:kern w:val="0"/>
          <w:sz w:val="32"/>
          <w:szCs w:val="32"/>
          <w:highlight w:val="none"/>
          <w:shd w:val="clear" w:color="auto" w:fill="FFFFFF"/>
          <w:lang w:val="zh-CN"/>
        </w:rPr>
        <w:t>三、部门</w:t>
      </w:r>
      <w:r>
        <w:rPr>
          <w:rFonts w:hint="default" w:ascii="Times New Roman" w:hAnsi="Times New Roman" w:eastAsia="黑体" w:cs="Times New Roman"/>
          <w:b/>
          <w:bCs/>
          <w:color w:val="auto"/>
          <w:kern w:val="0"/>
          <w:sz w:val="32"/>
          <w:szCs w:val="32"/>
          <w:highlight w:val="none"/>
          <w:shd w:val="clear" w:color="auto" w:fill="FFFFFF"/>
          <w:lang w:val="zh-CN" w:eastAsia="zh-CN"/>
        </w:rPr>
        <w:t>预算</w:t>
      </w:r>
      <w:r>
        <w:rPr>
          <w:rFonts w:hint="default" w:ascii="Times New Roman" w:hAnsi="Times New Roman" w:eastAsia="黑体" w:cs="Times New Roman"/>
          <w:b/>
          <w:bCs/>
          <w:color w:val="auto"/>
          <w:kern w:val="0"/>
          <w:sz w:val="32"/>
          <w:szCs w:val="32"/>
          <w:highlight w:val="none"/>
          <w:shd w:val="clear" w:color="auto" w:fill="FFFFFF"/>
          <w:lang w:val="zh-CN"/>
        </w:rPr>
        <w:t>绩效</w:t>
      </w:r>
      <w:r>
        <w:rPr>
          <w:rFonts w:hint="default" w:ascii="Times New Roman" w:hAnsi="Times New Roman" w:eastAsia="黑体" w:cs="Times New Roman"/>
          <w:b/>
          <w:bCs/>
          <w:color w:val="auto"/>
          <w:kern w:val="0"/>
          <w:sz w:val="32"/>
          <w:szCs w:val="32"/>
          <w:highlight w:val="none"/>
          <w:shd w:val="clear" w:color="auto" w:fill="FFFFFF"/>
          <w:lang w:val="zh-CN" w:eastAsia="zh-CN"/>
        </w:rPr>
        <w:t>分析</w:t>
      </w:r>
    </w:p>
    <w:p>
      <w:pPr>
        <w:keepNext w:val="0"/>
        <w:keepLines w:val="0"/>
        <w:pageBreakBefore w:val="0"/>
        <w:widowControl w:val="0"/>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楷体简体" w:cs="Times New Roman"/>
          <w:b/>
          <w:bCs/>
          <w:color w:val="auto"/>
          <w:kern w:val="0"/>
          <w:sz w:val="32"/>
          <w:szCs w:val="32"/>
          <w:highlight w:val="none"/>
          <w:shd w:val="clear" w:color="auto" w:fill="FFFFFF"/>
        </w:rPr>
      </w:pPr>
      <w:r>
        <w:rPr>
          <w:rFonts w:hint="default" w:ascii="Times New Roman" w:hAnsi="Times New Roman" w:eastAsia="方正楷体简体" w:cs="Times New Roman"/>
          <w:b/>
          <w:bCs/>
          <w:color w:val="000000"/>
          <w:kern w:val="0"/>
          <w:sz w:val="32"/>
          <w:szCs w:val="32"/>
          <w:highlight w:val="none"/>
          <w:shd w:val="clear" w:color="auto" w:fill="FFFFFF"/>
          <w:lang w:val="zh-CN"/>
        </w:rPr>
        <w:t>（一）部门预算总体绩效分析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我会根据《中华人民共和国预算法》，结合部门重点工作，编制了《2024年度部门整体支出绩效目标表》及《2024年度部门预算项目支出绩效自评表》。其中《2024年度部门预算项目支出绩效自评表》包含18个特定目标类项目支出绩效目标，绩效目标通过市残联集体决策审核后，按程序报市财政局审批通过。2024年预算编制阶段人大重点绩效目标质量审查，未提出市残联预算绩效目标有关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1.履职效能。我会</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结合部门当年重点工作任务安排，依据“资金规模从大到小”原则，选取“圆梦助学工程”“残疾儿童康复救助”“残疾人组织、维权及宣文体经费”三个重点项目实施了重点履职绩效评价。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预算管理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1）预算编制质量情况。我会依托预算管理一体化系统，对部门预算项目及转移性项目全部纳入项目库进行排序管理，包括项目金额、项目期限、绩效目标等内容。我会在中期评估中根据项目实施实际情况，压减了部分经常性项目支出，对资金统筹调控。基本构建层级分明、目标清晰、管控有力的预算体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经查阅部门预算申报资料，市残联根据全口径预决算原则，按照当年预算编制要求编制预算及预算编制说明，报政府审定后再报人大常委会初步审查，最后由人民代表大会审查和批准。人大批准后，财政部门批复下达部门预算，市残联再按要求向市残联机关及下属事业单位下达单位预算。从选取的3个重点项目预算编制情况发现，存在绩效目标设置未细化量化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（2）政府债务管理情况。我会未涉及政府债务管理相关业务，按照评分规则，自评得基础分3分。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3）收入组织管理情况。我会严格遵照市财政局关于加强非税收入预算管理的意见要求，将残疾人就业保障金（残保金）作为重要非税收入来源，纳入2024年度部门非税收入预期目标管理体系。年初，依据相关政策和历年征缴情况，科学制定了年度残保金预算收入目标为5200万元。在年度执行过程中，积极协同财政、税务等相关部门切实履行征缴管理和监督职责，确保依法征收、应收尽收。2024年度实际征缴入库残保金收入6534万元，圆满完成年初预算收入目标，而且实际收入远超预期，较预算数增加了1334万元，超额完成幅度达25.65%。同时，</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2019年11月经市政府批复同意将残疾人康复服务中心康复楼第一层、第二层、第三层合计面积4000平方米出租，</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市残疾人康复服务中心通过规范出租出借场地，实现国有资产出租出借收入66.67万元。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（4）支出执行进度情况。市残联2024年1—6月部门预算实际支出进度23.33%，指标自评得分1.94分；1—12月部门预算实际支出进度98.5%，指标自评得分2.88分，两项合并得分4.92分。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3.</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财务管理。</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我会</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严格遵循《中华人民共和国预算法》及市级财政管理规定，全面强化内部控制体系建设，通过动态修订《</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内部控制制度</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》，实现预算编制、执行、决算全流程制度管控；科学设置预算管理、核算审核与资产监</w:t>
      </w:r>
      <w:r>
        <w:rPr>
          <w:rFonts w:hint="eastAsia" w:eastAsia="方正仿宋简体" w:cs="Times New Roman"/>
          <w:b/>
          <w:bCs/>
          <w:color w:val="auto"/>
          <w:kern w:val="0"/>
          <w:sz w:val="32"/>
          <w:szCs w:val="32"/>
          <w:highlight w:val="none"/>
          <w:shd w:val="clear" w:color="auto" w:fill="FFFFFF"/>
          <w:lang w:val="zh-CN" w:eastAsia="zh-CN"/>
        </w:rPr>
        <w:t>督等</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专职岗位，严格执行不相容职务分离原则，形成岗位间有效制衡机制；资金使用执行“专款专用+全环节监控”模式，年度预算执行率达98.5%，“三公”经费同比下降</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13.65</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我会机关及下属事业单位组织开展</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合规</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性自查</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，确保资金零风险运行，全年保持资金使用合规率100%，无任何违规违纪情形，为残疾人事业高质量发展提供坚实财务保障。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4.</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资产管理。</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2024年，市残联</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坚持资产效益导向，通过</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资产管理系统、预算一体化平台</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动态监测资产配置</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情况</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。经自查，我会人均资产变化率-8.74%，远低于市级人均资产增幅12.06%，同时我会人均资产变化率小于</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0，自评得分3分。市残联积极推进闲置资产盘活工作，主动对接市机关事务管理局，制定闲置资产盘活方案，依规委托具有资质的拍卖机构对标的房产实施三轮公开拍卖，均因房屋位置偏僻、楼龄较长且楼层较高而流拍，暂无法完成盘活；自评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5.</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采购管理。</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2024年我会实施政府采购支出合计54.35万元，其中采购货物支出0.96万元，采购服务支出53.39万元。授予中小企业合同金额50.95万元。采购执行率100%。通过</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查阅采购相关文件，对采购项目的采购程序、采购方式合规性进行检查，经核实，项目采购流程均合规，采购文件完整且归档保存，暂未发现采购程序、采购方式不合规的情况。</w:t>
      </w:r>
    </w:p>
    <w:p>
      <w:pPr>
        <w:keepNext w:val="0"/>
        <w:keepLines w:val="0"/>
        <w:pageBreakBefore w:val="0"/>
        <w:widowControl w:val="0"/>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楷体简体" w:cs="Times New Roman"/>
          <w:b/>
          <w:bCs/>
          <w:color w:val="000000"/>
          <w:kern w:val="0"/>
          <w:sz w:val="32"/>
          <w:szCs w:val="32"/>
          <w:highlight w:val="none"/>
          <w:shd w:val="clear" w:color="auto" w:fill="FFFFFF"/>
          <w:lang w:val="zh-CN"/>
        </w:rPr>
      </w:pPr>
      <w:r>
        <w:rPr>
          <w:rFonts w:hint="default" w:ascii="Times New Roman" w:hAnsi="Times New Roman" w:eastAsia="方正楷体简体" w:cs="Times New Roman"/>
          <w:b/>
          <w:bCs/>
          <w:color w:val="000000"/>
          <w:kern w:val="0"/>
          <w:sz w:val="32"/>
          <w:szCs w:val="32"/>
          <w:highlight w:val="none"/>
          <w:shd w:val="clear" w:color="auto" w:fill="FFFFFF"/>
          <w:lang w:val="zh-CN"/>
        </w:rPr>
        <w:t>（</w:t>
      </w:r>
      <w:r>
        <w:rPr>
          <w:rFonts w:hint="default" w:ascii="Times New Roman" w:hAnsi="Times New Roman" w:eastAsia="方正楷体简体" w:cs="Times New Roman"/>
          <w:b/>
          <w:bCs/>
          <w:color w:val="000000"/>
          <w:kern w:val="0"/>
          <w:sz w:val="32"/>
          <w:szCs w:val="32"/>
          <w:highlight w:val="none"/>
          <w:shd w:val="clear" w:color="auto" w:fill="FFFFFF"/>
          <w:lang w:val="zh-CN" w:eastAsia="zh-CN"/>
        </w:rPr>
        <w:t>二</w:t>
      </w:r>
      <w:r>
        <w:rPr>
          <w:rFonts w:hint="default" w:ascii="Times New Roman" w:hAnsi="Times New Roman" w:eastAsia="方正楷体简体" w:cs="Times New Roman"/>
          <w:b/>
          <w:bCs/>
          <w:color w:val="000000"/>
          <w:kern w:val="0"/>
          <w:sz w:val="32"/>
          <w:szCs w:val="32"/>
          <w:highlight w:val="none"/>
          <w:shd w:val="clear" w:color="auto" w:fill="FFFFFF"/>
          <w:lang w:val="zh-CN"/>
        </w:rPr>
        <w:t>）部门预算项目绩效分析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常年项目绩效分析。该类项目总数13个，涉及预算总金额2403.04万元，1—12月预算执行总体进度为99.21%，其中：预算结余率大于10%的项目共计0个。</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阶段（含一次性）项目绩效分析。该类项目总数5个，涉及预算总金额1330.49万元，1—12月预算执行总体进度为98.65%，其中：预算结余率大于10%的项目共计0个。</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1.</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项目决策。</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我会严格遵循预算绩效管理要求，扎实开展绩效管理工作。年初对市残联部门整体绩效目标以及项目绩效目标开展科学编制并通过市财政绩效科审核，目标内容完整、指标细化量化、标准合理、预算匹配度高、报送规范，整体绩效目标编制较规范，需优化项较少，但也存在个别项目绩效指标细化量化程度不够。全年项目绩效目标调整频率较少，年中对“残疾人康复救助”“圆梦助学工程”项目进行了绩效目标调整，体现了前期规划的精准性；项目入库管理严格，追加预算占比较小。同时，所有绩效目标均按规定随年初预算同步公开，年度绩效完成情况及自评报告也随年终决算按时公开，确保了信息的透明度。全年未在市人大预审中发现涉及我会预算绩效目标的问题，无扣分项。综上，我会在项目决策环节基础工作扎实，目标设定科学合理，流程规范严谨，为预算执行和绩效目标的达成奠定了坚实基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2.项目执行</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我会</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全面落实绩效监控与自评要求。</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在</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绩效运行监控方面，部门本级及下属单位全部项目均按要求开展实时自行监控，覆盖率达100%；监控表及报告要素齐全完整，自行监控质量达标。项目支出绩效自评工作实现全覆盖，部门整体及项目自评报告均按时规范报送。综上，我会通过全过程闭环管理确保执行与目标同向，为残疾人事业高质量发展提供坚实执行保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3.</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目标实现。在绩效目标实现过程中，</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我会</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强化结果运用导向，系统构建“监控—整改—提升”闭环管理机制。本年度预算执行总体高效，平均执行率达98.82%。经全面核查，未发生绩效目标偏离需调整或预算资金需收回的情形，个别项目（如托养中心运行经费、残运会经费）因支付进度差异或实施规模微调产生的资金执行偏差均控制在合理阈值内，</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但也存在个别项目绩效目标未完成的情形。</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全年项目预算调整频次</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较低</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，新增项目申报流程严格受控。针对监控</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反馈需要推进的相关问题</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，均建立问题台账并实现100%销号整改。通过强化过程纠偏与制度约束双轨驱动，有效保障残疾人事业发展资金精准高效配置。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4.重点项目绩效分析。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项目一：“圆梦助学工程”项目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本项目综合评价得分97.1分。“圆梦助学工程”项目根据《泸州市人民政府关于印发泸州市残疾人事业“十三五”发展纲要的通知》《</w:t>
      </w:r>
      <w:r>
        <w:rPr>
          <w:rFonts w:hint="default" w:ascii="Times New Roman" w:hAnsi="Times New Roman" w:eastAsia="方正仿宋简体" w:cs="Times New Roman"/>
          <w:b/>
          <w:bCs/>
          <w:color w:val="auto"/>
          <w:kern w:val="0"/>
          <w:sz w:val="32"/>
          <w:szCs w:val="32"/>
          <w:highlight w:val="none"/>
          <w:shd w:val="clear" w:color="auto" w:fill="FFFFFF"/>
          <w:lang w:val="zh-CN"/>
        </w:rPr>
        <w:t>泸州市残疾人联合会 泸州市财政局关于印发</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zh-CN"/>
        </w:rPr>
        <w:t>泸州市残疾人</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zh-CN"/>
        </w:rPr>
        <w:t>圆梦助学工程</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zh-CN"/>
        </w:rPr>
        <w:t>实施方案</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〉的通知》</w:t>
      </w:r>
      <w:r>
        <w:rPr>
          <w:rFonts w:hint="default" w:ascii="Times New Roman" w:hAnsi="Times New Roman" w:eastAsia="方正仿宋简体" w:cs="Times New Roman"/>
          <w:b/>
          <w:bCs/>
          <w:color w:val="auto"/>
          <w:kern w:val="0"/>
          <w:sz w:val="32"/>
          <w:szCs w:val="32"/>
          <w:highlight w:val="none"/>
          <w:shd w:val="clear" w:color="auto" w:fill="FFFFFF"/>
          <w:lang w:val="zh-CN"/>
        </w:rPr>
        <w:t>（泸市残〔20</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23</w:t>
      </w:r>
      <w:r>
        <w:rPr>
          <w:rFonts w:hint="default" w:ascii="Times New Roman" w:hAnsi="Times New Roman" w:eastAsia="方正仿宋简体" w:cs="Times New Roman"/>
          <w:b/>
          <w:bCs/>
          <w:color w:val="auto"/>
          <w:kern w:val="0"/>
          <w:sz w:val="32"/>
          <w:szCs w:val="32"/>
          <w:highlight w:val="none"/>
          <w:shd w:val="clear" w:color="auto" w:fill="FFFFFF"/>
          <w:lang w:val="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84</w:t>
      </w:r>
      <w:r>
        <w:rPr>
          <w:rFonts w:hint="default" w:ascii="Times New Roman" w:hAnsi="Times New Roman" w:eastAsia="方正仿宋简体" w:cs="Times New Roman"/>
          <w:b/>
          <w:bCs/>
          <w:color w:val="auto"/>
          <w:kern w:val="0"/>
          <w:sz w:val="32"/>
          <w:szCs w:val="32"/>
          <w:highlight w:val="none"/>
          <w:shd w:val="clear" w:color="auto" w:fill="FFFFFF"/>
          <w:lang w:val="zh-CN"/>
        </w:rPr>
        <w:t>号）</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相关要求，于2013年开始实施，属于市残联民心守护工程项目，属于部门预算内经常性项目，符合部门职能职责。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（1）项目决策</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该项目设立与部门职能职责相符、项目规划符合市委、市政府重大决策部署，与项目年度目标一致。该项目设置绩效目标符合“三定”方案，设置高度关联，重点突出，绩效目标与预算资金量相匹配，大部分指标设置可量化指标，但个别指标仍然未细化量化，如数量指标设置为“残疾人大学新生和残疾人子女大学新生补助人数≧1280人”，未进行细化；社会效益指标设置为“减轻残疾人大学新生及残疾人子女家庭生活负担、关心残疾人和助残扶残社会氛围”等不易评价的定性指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（2）项目执行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该项目年初预算批复资金500万元，年中调整追加预算129.2万元，资金实际到位629.2万元，实际执行629.2万元，执行率100%。通过查阅档案，项目在申报程序、资金使用、信息公开等、档案资料方面较规范。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2024年6月、9月、11月该项目实际支出进度分别为3.86%、96.74%、94.95%%，6月、9月、11月实际支出进度均较目标支出进度40%、67.5%、82.5%滞后。</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（3）目标实现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年初目标为补助残疾人大学新生和残疾人子女大学新生大于等于1280人，实际完成补助对象1587人。完成项目绩效目标的实现程度与预期目标一致。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（4）项目效果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在项目长效管理机制有效性方面，市残联根据《泸州市人民政府关于印发泸州市残疾人事业“十三五”发展纲要的通知》（泸市府发〔2017〕31号），结合本市实际情况，制定了《</w:t>
      </w:r>
      <w:r>
        <w:rPr>
          <w:rFonts w:hint="default" w:ascii="Times New Roman" w:hAnsi="Times New Roman" w:eastAsia="方正仿宋简体" w:cs="Times New Roman"/>
          <w:b/>
          <w:bCs/>
          <w:color w:val="auto"/>
          <w:kern w:val="0"/>
          <w:sz w:val="32"/>
          <w:szCs w:val="32"/>
          <w:highlight w:val="none"/>
          <w:shd w:val="clear" w:color="auto" w:fill="FFFFFF"/>
          <w:lang w:val="zh-CN"/>
        </w:rPr>
        <w:t>泸州市残疾人联合会 泸州市财政局关于印发</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zh-CN"/>
        </w:rPr>
        <w:t>泸州市残疾人</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zh-CN"/>
        </w:rPr>
        <w:t>圆梦助学工程</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zh-CN"/>
        </w:rPr>
        <w:t>实施方案</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〉的通知》</w:t>
      </w:r>
      <w:r>
        <w:rPr>
          <w:rFonts w:hint="default" w:ascii="Times New Roman" w:hAnsi="Times New Roman" w:eastAsia="方正仿宋简体" w:cs="Times New Roman"/>
          <w:b/>
          <w:bCs/>
          <w:color w:val="auto"/>
          <w:kern w:val="0"/>
          <w:sz w:val="32"/>
          <w:szCs w:val="32"/>
          <w:highlight w:val="none"/>
          <w:shd w:val="clear" w:color="auto" w:fill="FFFFFF"/>
          <w:lang w:val="zh-CN"/>
        </w:rPr>
        <w:t>（泸市残〔20</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23</w:t>
      </w:r>
      <w:r>
        <w:rPr>
          <w:rFonts w:hint="default" w:ascii="Times New Roman" w:hAnsi="Times New Roman" w:eastAsia="方正仿宋简体" w:cs="Times New Roman"/>
          <w:b/>
          <w:bCs/>
          <w:color w:val="auto"/>
          <w:kern w:val="0"/>
          <w:sz w:val="32"/>
          <w:szCs w:val="32"/>
          <w:highlight w:val="none"/>
          <w:shd w:val="clear" w:color="auto" w:fill="FFFFFF"/>
          <w:lang w:val="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84</w:t>
      </w:r>
      <w:r>
        <w:rPr>
          <w:rFonts w:hint="default" w:ascii="Times New Roman" w:hAnsi="Times New Roman" w:eastAsia="方正仿宋简体" w:cs="Times New Roman"/>
          <w:b/>
          <w:bCs/>
          <w:color w:val="auto"/>
          <w:kern w:val="0"/>
          <w:sz w:val="32"/>
          <w:szCs w:val="32"/>
          <w:highlight w:val="none"/>
          <w:shd w:val="clear" w:color="auto" w:fill="FFFFFF"/>
          <w:lang w:val="zh-CN"/>
        </w:rPr>
        <w:t>号）</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实施方案》与发展残疾人事业中长期规划相关，通过项目实施，解决了符合资助条件的残疾人大学生和残疾人子女大学生上学难的状况，对提高残疾人受教育水平，完善残疾人教育保障机制具有积极促进作用，项目实施具有良好的社会效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重点履职项目二：“</w:t>
      </w:r>
      <w:r>
        <w:rPr>
          <w:rFonts w:hint="default" w:ascii="Times New Roman" w:hAnsi="Times New Roman" w:eastAsia="方正仿宋简体" w:cs="Times New Roman"/>
          <w:b/>
          <w:bCs/>
          <w:color w:val="auto"/>
          <w:kern w:val="0"/>
          <w:sz w:val="32"/>
          <w:szCs w:val="32"/>
          <w:highlight w:val="none"/>
          <w:shd w:val="clear" w:color="auto" w:fill="FFFFFF"/>
          <w:lang w:val="zh-CN"/>
        </w:rPr>
        <w:t>残疾人组织、维权及宣文体</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经费”项目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本项目综合评价得分98.41。</w:t>
      </w:r>
      <w:r>
        <w:rPr>
          <w:rFonts w:hint="default" w:ascii="Times New Roman" w:hAnsi="Times New Roman" w:eastAsia="方正仿宋简体" w:cs="Times New Roman"/>
          <w:b/>
          <w:bCs/>
          <w:color w:val="auto"/>
          <w:kern w:val="0"/>
          <w:sz w:val="32"/>
          <w:szCs w:val="32"/>
          <w:highlight w:val="none"/>
          <w:shd w:val="clear" w:color="auto" w:fill="FFFFFF"/>
          <w:lang w:val="zh-CN"/>
        </w:rPr>
        <w:t>“残疾人组织、维权及宣文体</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经费”项目主要依据</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《中国残联、民政部关于促进助残社会组织发展的指导意见》《中国残疾人协会章程》《四川残联、省</w:t>
      </w:r>
      <w:r>
        <w:rPr>
          <w:rFonts w:hint="eastAsia" w:eastAsia="方正仿宋简体" w:cs="Times New Roman"/>
          <w:b/>
          <w:bCs/>
          <w:color w:val="auto"/>
          <w:kern w:val="0"/>
          <w:sz w:val="32"/>
          <w:szCs w:val="32"/>
          <w:highlight w:val="none"/>
          <w:shd w:val="clear" w:color="auto" w:fill="FFFFFF"/>
          <w:lang w:val="zh-CN" w:eastAsia="zh-CN"/>
        </w:rPr>
        <w:t>卫健委</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关于四川省〈中华人民共和国残疾人证管理办法〉实施细则的通知》（川残办〔2017〕61号）《四川残联</w:t>
      </w:r>
      <w:r>
        <w:rPr>
          <w:rFonts w:hint="default" w:ascii="Times New Roman" w:hAnsi="Times New Roman" w:eastAsia="方正仿宋简体" w:cs="Times New Roman"/>
          <w:b/>
          <w:bCs/>
          <w:color w:val="auto"/>
          <w:kern w:val="0"/>
          <w:sz w:val="32"/>
          <w:szCs w:val="32"/>
          <w:highlight w:val="none"/>
          <w:shd w:val="clear" w:color="auto" w:fill="FFFFFF"/>
          <w:lang w:val="zh-CN"/>
        </w:rPr>
        <w:t>关于进一步加强各级残联专门协会工作的指导意见</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zh-CN"/>
        </w:rPr>
        <w:t>（川残办〔2013〕116号）《泸州市残疾人联合会关于</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印发〈</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泸州市</w:t>
      </w:r>
      <w:r>
        <w:rPr>
          <w:rFonts w:hint="default" w:ascii="Times New Roman" w:hAnsi="Times New Roman" w:eastAsia="方正仿宋简体" w:cs="Times New Roman"/>
          <w:b/>
          <w:bCs/>
          <w:color w:val="auto"/>
          <w:kern w:val="0"/>
          <w:sz w:val="32"/>
          <w:szCs w:val="32"/>
          <w:highlight w:val="none"/>
          <w:shd w:val="clear" w:color="auto" w:fill="FFFFFF"/>
          <w:lang w:val="zh-CN"/>
        </w:rPr>
        <w:t>202</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4</w:t>
      </w:r>
      <w:r>
        <w:rPr>
          <w:rFonts w:hint="default" w:ascii="Times New Roman" w:hAnsi="Times New Roman" w:eastAsia="方正仿宋简体" w:cs="Times New Roman"/>
          <w:b/>
          <w:bCs/>
          <w:color w:val="auto"/>
          <w:kern w:val="0"/>
          <w:sz w:val="32"/>
          <w:szCs w:val="32"/>
          <w:highlight w:val="none"/>
          <w:shd w:val="clear" w:color="auto" w:fill="FFFFFF"/>
          <w:lang w:val="zh-CN"/>
        </w:rPr>
        <w:t>年度“温暖万家行”走访慰问活动</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方案〉的通知》</w:t>
      </w:r>
      <w:r>
        <w:rPr>
          <w:rFonts w:hint="default" w:ascii="Times New Roman" w:hAnsi="Times New Roman" w:eastAsia="方正仿宋简体" w:cs="Times New Roman"/>
          <w:b/>
          <w:bCs/>
          <w:color w:val="auto"/>
          <w:kern w:val="0"/>
          <w:sz w:val="32"/>
          <w:szCs w:val="32"/>
          <w:highlight w:val="none"/>
          <w:shd w:val="clear" w:color="auto" w:fill="FFFFFF"/>
          <w:lang w:val="zh-CN"/>
        </w:rPr>
        <w:t>（泸市残〔202</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4</w:t>
      </w:r>
      <w:r>
        <w:rPr>
          <w:rFonts w:hint="default" w:ascii="Times New Roman" w:hAnsi="Times New Roman" w:eastAsia="方正仿宋简体" w:cs="Times New Roman"/>
          <w:b/>
          <w:bCs/>
          <w:color w:val="auto"/>
          <w:kern w:val="0"/>
          <w:sz w:val="32"/>
          <w:szCs w:val="32"/>
          <w:highlight w:val="none"/>
          <w:shd w:val="clear" w:color="auto" w:fill="FFFFFF"/>
          <w:lang w:val="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5</w:t>
      </w:r>
      <w:r>
        <w:rPr>
          <w:rFonts w:hint="default" w:ascii="Times New Roman" w:hAnsi="Times New Roman" w:eastAsia="方正仿宋简体" w:cs="Times New Roman"/>
          <w:b/>
          <w:bCs/>
          <w:color w:val="auto"/>
          <w:kern w:val="0"/>
          <w:sz w:val="32"/>
          <w:szCs w:val="32"/>
          <w:highlight w:val="none"/>
          <w:shd w:val="clear" w:color="auto" w:fill="FFFFFF"/>
          <w:lang w:val="zh-CN"/>
        </w:rPr>
        <w:t>号）文件、《泸州市</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残疾人联合会</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关于印发〈</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泸州市残联紧急救助资金管理办法〉的通知》</w:t>
      </w:r>
      <w:r>
        <w:rPr>
          <w:rFonts w:hint="default" w:ascii="Times New Roman" w:hAnsi="Times New Roman" w:eastAsia="方正仿宋简体" w:cs="Times New Roman"/>
          <w:b/>
          <w:bCs/>
          <w:color w:val="auto"/>
          <w:kern w:val="0"/>
          <w:sz w:val="32"/>
          <w:szCs w:val="32"/>
          <w:highlight w:val="none"/>
          <w:shd w:val="clear" w:color="auto" w:fill="FFFFFF"/>
          <w:lang w:val="zh-CN"/>
        </w:rPr>
        <w:t>（泸市残〔20</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20</w:t>
      </w:r>
      <w:r>
        <w:rPr>
          <w:rFonts w:hint="default" w:ascii="Times New Roman" w:hAnsi="Times New Roman" w:eastAsia="方正仿宋简体" w:cs="Times New Roman"/>
          <w:b/>
          <w:bCs/>
          <w:color w:val="auto"/>
          <w:kern w:val="0"/>
          <w:sz w:val="32"/>
          <w:szCs w:val="32"/>
          <w:highlight w:val="none"/>
          <w:shd w:val="clear" w:color="auto" w:fill="FFFFFF"/>
          <w:lang w:val="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45</w:t>
      </w:r>
      <w:r>
        <w:rPr>
          <w:rFonts w:hint="default" w:ascii="Times New Roman" w:hAnsi="Times New Roman" w:eastAsia="方正仿宋简体" w:cs="Times New Roman"/>
          <w:b/>
          <w:bCs/>
          <w:color w:val="auto"/>
          <w:kern w:val="0"/>
          <w:sz w:val="32"/>
          <w:szCs w:val="32"/>
          <w:highlight w:val="none"/>
          <w:shd w:val="clear" w:color="auto" w:fill="FFFFFF"/>
          <w:lang w:val="zh-CN"/>
        </w:rPr>
        <w:t>号）《关于开展第三十四次全国助残日活动的通知》（残工委发〔202</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4</w:t>
      </w:r>
      <w:r>
        <w:rPr>
          <w:rFonts w:hint="default" w:ascii="Times New Roman" w:hAnsi="Times New Roman" w:eastAsia="方正仿宋简体" w:cs="Times New Roman"/>
          <w:b/>
          <w:bCs/>
          <w:color w:val="auto"/>
          <w:kern w:val="0"/>
          <w:sz w:val="32"/>
          <w:szCs w:val="32"/>
          <w:highlight w:val="none"/>
          <w:shd w:val="clear" w:color="auto" w:fill="FFFFFF"/>
          <w:lang w:val="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5</w:t>
      </w:r>
      <w:r>
        <w:rPr>
          <w:rFonts w:hint="default" w:ascii="Times New Roman" w:hAnsi="Times New Roman" w:eastAsia="方正仿宋简体" w:cs="Times New Roman"/>
          <w:b/>
          <w:bCs/>
          <w:color w:val="auto"/>
          <w:kern w:val="0"/>
          <w:sz w:val="32"/>
          <w:szCs w:val="32"/>
          <w:highlight w:val="none"/>
          <w:shd w:val="clear" w:color="auto" w:fill="FFFFFF"/>
          <w:lang w:val="zh-CN"/>
        </w:rPr>
        <w:t>号）《关于组织选送四川省第三届残疾人文化艺术节参赛节目、作品有关事项的通知》（川残艺〔2021〕1号）</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文件要求开展的残疾人宣传文化、残疾人组织建设、残疾人维权、残疾人体育等支持残疾人事业方面的支出，属于市残联部门预算内经常性项目，符合部门职能职责。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（1）项目决策</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该项目设立与部门职能职责相符、项目规划符合市委、市政府重大决策部署，与项目年度目标一致。该项目设置绩效目标符合“三定”方案，设置高度关联，重点突出，绩效目标与预算资金量相匹配，大部分指标设置可量化指标，但个别指标未使用量化指标，如社会效益指标设置为“残疾人事业与经济社会协调发展”“关心、理解、支持残疾人的社会氛围”等不易评价的定性指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（2）项目执行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该项目年初预算批复资金435万元，年中调整追加预算170万元，年末财政追减资金100万元，资金实际到位504.99万元，实际执行504.4万元，执行率99.88%。通过查阅财务资料、档案，项目在申报程序、资金使用、档案资料等方面较规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2024年6月、9月、11月该项目实际支出进度分别为33.71%、48.31%、63.56%，6月、9月、11月实际支出进度均较目标支出进度40%、67.5%、82.5%滞后。</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（3）目标实现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计划完成绩效指标37个（其中数量指标10个、成本指标8个），实际完成37个，完成项目绩效目标的实现程度与预期目标一致。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（4）项目效果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在项目长效管理机制有效性方面，市残联严格依据上级文件精神，结合本地实际，制定了《泸州市2024年度“温暖万家行”走访慰问活动方案》（泸市残〔2024〕5号）《泸州市残联紧急救助资金管理办法》（泸市残〔2020〕45号）等一系列政策文件。这些政策与市残联的职能职责高度契合，并与本地残疾人事业中长期发展规划紧密衔接。通过项目实施，</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进一步完善多层次社会保障体系，建立了党和政府与残疾人的桥梁，残疾人社会融入度显著提升，残疾人生活状况有所改善，残疾人临时性困难得到救助，帮助贫困残疾人在遭遇生活困境、重特大疾病或合法权益受到侵害等紧急情况下克服困难，渡过难关，使残疾群体获得感、幸福感、安全感，项目</w:t>
      </w:r>
      <w:r>
        <w:rPr>
          <w:rFonts w:hint="default" w:ascii="Times New Roman" w:hAnsi="Times New Roman" w:eastAsia="方正仿宋简体" w:cs="Times New Roman"/>
          <w:b/>
          <w:bCs/>
          <w:color w:val="auto"/>
          <w:kern w:val="0"/>
          <w:sz w:val="32"/>
          <w:szCs w:val="32"/>
          <w:highlight w:val="none"/>
          <w:shd w:val="clear" w:color="auto" w:fill="FFFFFF"/>
          <w:lang w:val="zh-CN"/>
        </w:rPr>
        <w:t>受益对象家庭满意度达9</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5</w:t>
      </w:r>
      <w:r>
        <w:rPr>
          <w:rFonts w:hint="default" w:ascii="Times New Roman" w:hAnsi="Times New Roman" w:eastAsia="方正仿宋简体" w:cs="Times New Roman"/>
          <w:b/>
          <w:bCs/>
          <w:color w:val="auto"/>
          <w:kern w:val="0"/>
          <w:sz w:val="32"/>
          <w:szCs w:val="32"/>
          <w:highlight w:val="none"/>
          <w:shd w:val="clear" w:color="auto" w:fill="FFFFFF"/>
          <w:lang w:val="zh-CN"/>
        </w:rPr>
        <w:t>%以上，社会满意度达</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95</w:t>
      </w:r>
      <w:r>
        <w:rPr>
          <w:rFonts w:hint="default" w:ascii="Times New Roman" w:hAnsi="Times New Roman" w:eastAsia="方正仿宋简体" w:cs="Times New Roman"/>
          <w:b/>
          <w:bCs/>
          <w:color w:val="auto"/>
          <w:kern w:val="0"/>
          <w:sz w:val="32"/>
          <w:szCs w:val="32"/>
          <w:highlight w:val="none"/>
          <w:shd w:val="clear" w:color="auto" w:fill="FFFFFF"/>
          <w:lang w:val="zh-CN"/>
        </w:rPr>
        <w:t>%以上。</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通过</w:t>
      </w:r>
      <w:r>
        <w:rPr>
          <w:rFonts w:hint="default" w:ascii="Times New Roman" w:hAnsi="Times New Roman" w:eastAsia="方正仿宋简体" w:cs="Times New Roman"/>
          <w:b/>
          <w:bCs/>
          <w:color w:val="auto"/>
          <w:kern w:val="0"/>
          <w:sz w:val="32"/>
          <w:szCs w:val="32"/>
          <w:highlight w:val="none"/>
          <w:shd w:val="clear" w:color="auto" w:fill="FFFFFF"/>
          <w:lang w:val="zh-CN"/>
        </w:rPr>
        <w:t>加大残疾人事业宣传力度，提升了社会对残疾人群体的关注</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进一步助力我市残疾人事业高质量发展，项目实施具有良好的社会效益。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项目三：“</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残疾儿童康复救助</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本项目综合评价得分</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98.96</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分。年初项目申报通过部门预算会议集体决策程序，并按照要求纳入部门项目库。部门预算项目设立与部门职能职责相符。项目根据</w:t>
      </w:r>
      <w:r>
        <w:rPr>
          <w:rFonts w:hint="default" w:ascii="Times New Roman" w:hAnsi="Times New Roman" w:eastAsia="方正仿宋简体" w:cs="Times New Roman"/>
          <w:b/>
          <w:bCs/>
          <w:color w:val="auto"/>
          <w:kern w:val="0"/>
          <w:sz w:val="32"/>
          <w:szCs w:val="32"/>
          <w:highlight w:val="none"/>
          <w:shd w:val="clear" w:color="auto" w:fill="FFFFFF"/>
          <w:lang w:val="zh-CN"/>
        </w:rPr>
        <w:t>《泸州市人民政府</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关于进一步实施</w:t>
      </w:r>
      <w:r>
        <w:rPr>
          <w:rFonts w:hint="default" w:ascii="Times New Roman" w:hAnsi="Times New Roman" w:eastAsia="方正仿宋简体" w:cs="Times New Roman"/>
          <w:b/>
          <w:bCs/>
          <w:color w:val="auto"/>
          <w:kern w:val="0"/>
          <w:sz w:val="32"/>
          <w:szCs w:val="32"/>
          <w:highlight w:val="none"/>
          <w:shd w:val="clear" w:color="auto" w:fill="FFFFFF"/>
          <w:lang w:val="zh-CN"/>
        </w:rPr>
        <w:t>残疾儿童康复救助制度的</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通知</w:t>
      </w:r>
      <w:r>
        <w:rPr>
          <w:rFonts w:hint="default" w:ascii="Times New Roman" w:hAnsi="Times New Roman" w:eastAsia="方正仿宋简体" w:cs="Times New Roman"/>
          <w:b/>
          <w:bCs/>
          <w:color w:val="auto"/>
          <w:kern w:val="0"/>
          <w:sz w:val="32"/>
          <w:szCs w:val="32"/>
          <w:highlight w:val="none"/>
          <w:shd w:val="clear" w:color="auto" w:fill="FFFFFF"/>
          <w:lang w:val="zh-CN"/>
        </w:rPr>
        <w:t>》（泸市府</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规</w:t>
      </w:r>
      <w:r>
        <w:rPr>
          <w:rFonts w:hint="default" w:ascii="Times New Roman" w:hAnsi="Times New Roman" w:eastAsia="方正仿宋简体" w:cs="Times New Roman"/>
          <w:b/>
          <w:bCs/>
          <w:color w:val="auto"/>
          <w:kern w:val="0"/>
          <w:sz w:val="32"/>
          <w:szCs w:val="32"/>
          <w:highlight w:val="none"/>
          <w:shd w:val="clear" w:color="auto" w:fill="FFFFFF"/>
          <w:lang w:val="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w:t>
      </w:r>
      <w:r>
        <w:rPr>
          <w:rFonts w:hint="default" w:ascii="Times New Roman" w:hAnsi="Times New Roman" w:eastAsia="方正仿宋简体" w:cs="Times New Roman"/>
          <w:b/>
          <w:bCs/>
          <w:color w:val="auto"/>
          <w:kern w:val="0"/>
          <w:sz w:val="32"/>
          <w:szCs w:val="32"/>
          <w:highlight w:val="none"/>
          <w:shd w:val="clear" w:color="auto" w:fill="FFFFFF"/>
          <w:lang w:val="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4</w:t>
      </w:r>
      <w:r>
        <w:rPr>
          <w:rFonts w:hint="default" w:ascii="Times New Roman" w:hAnsi="Times New Roman" w:eastAsia="方正仿宋简体" w:cs="Times New Roman"/>
          <w:b/>
          <w:bCs/>
          <w:color w:val="auto"/>
          <w:kern w:val="0"/>
          <w:sz w:val="32"/>
          <w:szCs w:val="32"/>
          <w:highlight w:val="none"/>
          <w:shd w:val="clear" w:color="auto" w:fill="FFFFFF"/>
          <w:lang w:val="zh-CN"/>
        </w:rPr>
        <w:t>号）</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执行，切实保障残疾儿童基本康复服务需求，努力实现残疾儿童“人人享有康复服务”并进行合理规划。项目规划符合市委、市政府重大决策部署，与项目年度目标一致。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1</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）项目决策</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该</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项目设立与部门职能职责相符、项目规划符合市委、市政府重大决策部署，与项目年度目标一致。该项目设置绩效目标符合“三定”方案，设置高度关联，重点突出，绩效目标与预算资金量相匹配，指标设置</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均设置</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可量化指标。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）项目执行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项目年初预算安排数450万元，年中追加中央资金</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60.67</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万元，省级资金</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32.78</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万元，</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追加市级财政资金4.5万元，</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资金实际到位数为</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547.95</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万元，执行数为</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537.95</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万元，执行率</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98.17</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%。通过查阅档案，项目在申报审核、资金使用、信息公开、</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档案管理</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等方面规范，市残联不定期对康复机构进行日常督查管理，每年委托第三方机构对定点康复机构开展年度评估，评估结果与划拨资金挂钩。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年6月、9月、11月该项目实际支出进度分别为36.45%、63.63%、82.03%,6、9、11月执行进度均较目标进度</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40%、67.5%、82.5%滞后。</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3</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）目标实现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绩效目标中计划完成康复救助儿童人数≧225人，实际完成救助</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285</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人。完成项目绩效目标的实现程度与预期目标一致。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4</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）项目效果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通过对项目</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档案</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资料进行自查</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，补助对象申请资料均经区县残联初审、市残疾人康复服务中心复审通过后由残疾儿童监护人自主选择定点康复机构接受康复服务，按季度与定点康复机构进行费用结算，</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未发现</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不符合规定补助的情况。</w:t>
      </w:r>
    </w:p>
    <w:p>
      <w:pPr>
        <w:keepNext w:val="0"/>
        <w:keepLines w:val="0"/>
        <w:pageBreakBefore w:val="0"/>
        <w:widowControl w:val="0"/>
        <w:numPr>
          <w:ilvl w:val="-1"/>
          <w:numId w:val="0"/>
        </w:numPr>
        <w:kinsoku/>
        <w:wordWrap/>
        <w:overflowPunct/>
        <w:topLinePunct w:val="0"/>
        <w:autoSpaceDE/>
        <w:autoSpaceDN/>
        <w:bidi w:val="0"/>
        <w:adjustRightInd w:val="0"/>
        <w:snapToGrid w:val="0"/>
        <w:spacing w:line="576" w:lineRule="exact"/>
        <w:ind w:left="0" w:leftChars="0" w:firstLine="643" w:firstLineChars="200"/>
        <w:contextualSpacing/>
        <w:jc w:val="both"/>
        <w:textAlignment w:val="auto"/>
        <w:rPr>
          <w:rFonts w:hint="default" w:ascii="Times New Roman" w:hAnsi="Times New Roman" w:eastAsia="方正楷体简体" w:cs="Times New Roman"/>
          <w:b/>
          <w:bCs/>
          <w:color w:val="000000"/>
          <w:kern w:val="0"/>
          <w:sz w:val="32"/>
          <w:szCs w:val="32"/>
          <w:highlight w:val="none"/>
          <w:shd w:val="clear" w:color="auto" w:fill="FFFFFF"/>
          <w:lang w:val="zh-CN" w:eastAsia="zh-CN"/>
        </w:rPr>
      </w:pPr>
      <w:r>
        <w:rPr>
          <w:rFonts w:hint="default" w:ascii="Times New Roman" w:hAnsi="Times New Roman" w:eastAsia="方正楷体简体" w:cs="Times New Roman"/>
          <w:b/>
          <w:bCs/>
          <w:color w:val="000000"/>
          <w:kern w:val="0"/>
          <w:sz w:val="32"/>
          <w:szCs w:val="32"/>
          <w:highlight w:val="none"/>
          <w:shd w:val="clear" w:color="auto" w:fill="FFFFFF"/>
          <w:lang w:val="zh-CN"/>
        </w:rPr>
        <w:t>（</w:t>
      </w:r>
      <w:r>
        <w:rPr>
          <w:rFonts w:hint="default" w:ascii="Times New Roman" w:hAnsi="Times New Roman" w:eastAsia="方正楷体简体" w:cs="Times New Roman"/>
          <w:b/>
          <w:bCs/>
          <w:color w:val="000000"/>
          <w:kern w:val="0"/>
          <w:sz w:val="32"/>
          <w:szCs w:val="32"/>
          <w:highlight w:val="none"/>
          <w:shd w:val="clear" w:color="auto" w:fill="FFFFFF"/>
          <w:lang w:val="zh-CN" w:eastAsia="zh-CN"/>
        </w:rPr>
        <w:t>三</w:t>
      </w:r>
      <w:r>
        <w:rPr>
          <w:rFonts w:hint="default" w:ascii="Times New Roman" w:hAnsi="Times New Roman" w:eastAsia="方正楷体简体" w:cs="Times New Roman"/>
          <w:b/>
          <w:bCs/>
          <w:color w:val="000000"/>
          <w:kern w:val="0"/>
          <w:sz w:val="32"/>
          <w:szCs w:val="32"/>
          <w:highlight w:val="none"/>
          <w:shd w:val="clear" w:color="auto" w:fill="FFFFFF"/>
          <w:lang w:val="zh-CN"/>
        </w:rPr>
        <w:t>）绩效结果应用情况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1.内部应用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市残联</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积极</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推进内设机构和下属单位绩效管理纳入内部考核体系，每年根据各科室及下属事业单位项目资金执行及绩效管理情况，作为下一年预算编制的参考条件。2024年度部门整体预算执行率达98.82%，各项目绩效目标全面完成。在编制2025年预算时，严格遵循“以效定资”原则，根据项目绩效评价结果及实际实施需求，科学核定资金额度，优先保障成效显著、残疾人需求迫切的重点领域，确保财政资金精准高效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2.信息公开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截至评价日，由于</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年部门决算尚未批复，绩效评价自评情况暂未公开。经查询</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市残联</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官网，市残联已随决算公开</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2023</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年部门整体支出绩效评价自评报告。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3.整改反馈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在预算绩效监控阶段，我会根据</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市财政局相关科室提出绩效目标核查意见均及时进行了调整，并在一体化系统经市财政局审核；绩效监控后结合中期评估对预算进行了相应调整。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3" w:firstLineChars="200"/>
        <w:contextualSpacing/>
        <w:jc w:val="both"/>
        <w:textAlignment w:val="auto"/>
        <w:outlineLvl w:val="9"/>
        <w:rPr>
          <w:rFonts w:hint="default" w:ascii="Times New Roman" w:hAnsi="Times New Roman" w:eastAsia="黑体" w:cs="Times New Roman"/>
          <w:b/>
          <w:bCs/>
          <w:color w:val="000000"/>
          <w:kern w:val="0"/>
          <w:sz w:val="32"/>
          <w:szCs w:val="32"/>
          <w:highlight w:val="none"/>
          <w:shd w:val="clear" w:color="auto" w:fill="FFFFFF"/>
          <w:lang w:val="zh-CN"/>
        </w:rPr>
      </w:pPr>
      <w:r>
        <w:rPr>
          <w:rFonts w:hint="default" w:ascii="Times New Roman" w:hAnsi="Times New Roman" w:eastAsia="黑体" w:cs="Times New Roman"/>
          <w:b/>
          <w:bCs/>
          <w:color w:val="000000"/>
          <w:kern w:val="0"/>
          <w:sz w:val="32"/>
          <w:szCs w:val="32"/>
          <w:highlight w:val="none"/>
          <w:shd w:val="clear" w:color="auto" w:fill="FFFFFF"/>
          <w:lang w:val="zh-CN" w:eastAsia="zh-CN"/>
        </w:rPr>
        <w:t>四、</w:t>
      </w:r>
      <w:r>
        <w:rPr>
          <w:rFonts w:hint="default" w:ascii="Times New Roman" w:hAnsi="Times New Roman" w:eastAsia="黑体" w:cs="Times New Roman"/>
          <w:b/>
          <w:bCs/>
          <w:color w:val="000000"/>
          <w:kern w:val="0"/>
          <w:sz w:val="32"/>
          <w:szCs w:val="32"/>
          <w:highlight w:val="none"/>
          <w:shd w:val="clear" w:color="auto" w:fill="FFFFFF"/>
          <w:lang w:val="zh-CN"/>
        </w:rPr>
        <w:t>评价结论及建议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楷体简体" w:cs="Times New Roman"/>
          <w:b/>
          <w:bCs/>
          <w:kern w:val="0"/>
          <w:position w:val="0"/>
          <w:sz w:val="32"/>
          <w:szCs w:val="32"/>
          <w:highlight w:val="none"/>
          <w:lang w:val="en-US" w:eastAsia="zh-CN" w:bidi="ar-SA"/>
        </w:rPr>
      </w:pPr>
      <w:r>
        <w:rPr>
          <w:rFonts w:hint="default" w:ascii="Times New Roman" w:hAnsi="Times New Roman" w:eastAsia="方正楷体简体" w:cs="Times New Roman"/>
          <w:b/>
          <w:bCs/>
          <w:color w:val="000000"/>
          <w:kern w:val="0"/>
          <w:sz w:val="32"/>
          <w:szCs w:val="32"/>
          <w:highlight w:val="none"/>
          <w:shd w:val="clear" w:color="auto" w:fill="FFFFFF"/>
          <w:lang w:val="zh-CN"/>
        </w:rPr>
        <w:t>（一）评价结论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市残联在部门决策方面与相关法律法规相符、与部门“三定”方案相符，与部门中长期规划相符、与省残联工作任务相符；在项目执行方面，项目预算测算依据较充分，预算编制合理，是根据市委、市政府相关文件按实编制预算残疾人得到了更多实惠。部门绩效目标编制要素完整、决策规范，基本与预算同步调整，整体绩效目标基本实现，在目标实现方面，严格按照年初制定的方案较好地完成了残疾人康复、教育、劳动就业、扶贫、维权、文化体育、社会保障等工作，残疾人事业取得了长足发展。但也存在个别项目绩效指标设置细化量化程度不够、预算执行序时进度把控不佳、个别项目绩效指标未按时完成等问题。部门预算绩效自评打分表详见附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楷体简体" w:cs="Times New Roman"/>
          <w:b/>
          <w:bCs/>
          <w:color w:val="000000"/>
          <w:kern w:val="0"/>
          <w:sz w:val="32"/>
          <w:szCs w:val="32"/>
          <w:highlight w:val="none"/>
          <w:shd w:val="clear" w:color="auto" w:fill="FFFFFF"/>
          <w:lang w:val="zh-CN"/>
        </w:rPr>
      </w:pPr>
      <w:r>
        <w:rPr>
          <w:rFonts w:hint="default" w:ascii="Times New Roman" w:hAnsi="Times New Roman" w:eastAsia="方正楷体简体" w:cs="Times New Roman"/>
          <w:b/>
          <w:bCs/>
          <w:color w:val="000000"/>
          <w:kern w:val="0"/>
          <w:sz w:val="32"/>
          <w:szCs w:val="32"/>
          <w:highlight w:val="none"/>
          <w:shd w:val="clear" w:color="auto" w:fill="FFFFFF"/>
          <w:lang w:val="zh-CN" w:eastAsia="zh-CN"/>
        </w:rPr>
        <w:t>（二）</w:t>
      </w:r>
      <w:r>
        <w:rPr>
          <w:rFonts w:hint="default" w:ascii="Times New Roman" w:hAnsi="Times New Roman" w:eastAsia="方正楷体简体" w:cs="Times New Roman"/>
          <w:b/>
          <w:bCs/>
          <w:color w:val="000000"/>
          <w:kern w:val="0"/>
          <w:sz w:val="32"/>
          <w:szCs w:val="32"/>
          <w:highlight w:val="none"/>
          <w:shd w:val="clear" w:color="auto" w:fill="FFFFFF"/>
          <w:lang w:val="zh-CN"/>
        </w:rPr>
        <w:t>存在问题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1.绩效目标</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设置</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细化量化程度不够。如圆梦助学项目社会效益指标设置为“减轻残疾人大学新生及残疾人子女家庭生活负担”，残疾人就业创业扶持项目社会效益指标设置为“增强残疾人创业的信心”；圆梦助学项目数量指标设置为“残疾人大学新生和残疾人子女大学新生补助人数≧</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1200</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人”，未进行细化分解。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2.预算执行进度把控不佳，中期进度执行缓慢。</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2024年</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1—6月部门预算实际支出仅完成全年预算的23.33%，远低于序时进度要求；1—12月虽达到98.5%，但全年支出主要集中在下半年，形成“前低后高”的集中支付现象，未能实现预算资金在时间维度上的均衡、有效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zh-CN" w:eastAsia="zh-CN"/>
        </w:rPr>
      </w:pPr>
      <w:r>
        <w:rPr>
          <w:rFonts w:hint="default" w:ascii="Times New Roman" w:hAnsi="Times New Roman" w:eastAsia="方正仿宋简体" w:cs="Times New Roman"/>
          <w:b/>
          <w:bCs/>
          <w:color w:val="auto"/>
          <w:kern w:val="0"/>
          <w:sz w:val="32"/>
          <w:szCs w:val="32"/>
          <w:highlight w:val="none"/>
          <w:shd w:val="clear" w:color="auto" w:fill="FFFFFF"/>
          <w:lang w:val="zh-CN" w:eastAsia="zh-CN"/>
        </w:rPr>
        <w:t>3.个别项目</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绩效目标未完成或未及时进行调整。</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部分指标完成偏离度</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偏高。部</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门整体支出绩效目标</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中有3个数量指标未完成，分别是</w:t>
      </w:r>
      <w:r>
        <w:rPr>
          <w:rFonts w:hint="default" w:ascii="Times New Roman" w:hAnsi="Times New Roman" w:eastAsia="方正仿宋简体" w:cs="Times New Roman"/>
          <w:b/>
          <w:bCs/>
          <w:color w:val="auto"/>
          <w:kern w:val="0"/>
          <w:sz w:val="32"/>
          <w:szCs w:val="32"/>
          <w:highlight w:val="none"/>
          <w:shd w:val="clear" w:color="auto" w:fill="FFFFFF"/>
          <w:lang w:val="zh-CN" w:eastAsia="zh-CN"/>
        </w:rPr>
        <w:t>“工疗、农疗项目次数”</w:t>
      </w:r>
      <w:r>
        <w:rPr>
          <w:rFonts w:hint="default" w:ascii="Times New Roman" w:hAnsi="Times New Roman" w:eastAsia="方正仿宋简体" w:cs="Times New Roman"/>
          <w:b/>
          <w:bCs/>
          <w:color w:val="auto"/>
          <w:kern w:val="0"/>
          <w:sz w:val="32"/>
          <w:szCs w:val="32"/>
          <w:highlight w:val="none"/>
          <w:shd w:val="clear" w:color="auto" w:fill="FFFFFF"/>
          <w:lang w:val="en-US" w:eastAsia="zh-CN"/>
        </w:rPr>
        <w:t>年初设置数量指标≥12场次，实际完成7场次；残疾人创办企业社保补贴年初设置数量指标≥4人，实际完成3人；残疾人职业技能培训年初设置数量指标≥135人，实际完成113人。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3" w:firstLineChars="200"/>
        <w:contextualSpacing/>
        <w:jc w:val="both"/>
        <w:textAlignment w:val="auto"/>
        <w:outlineLvl w:val="9"/>
        <w:rPr>
          <w:rFonts w:hint="default" w:ascii="Times New Roman" w:hAnsi="Times New Roman" w:eastAsia="方正楷体简体" w:cs="Times New Roman"/>
          <w:b/>
          <w:bCs/>
          <w:color w:val="000000"/>
          <w:kern w:val="0"/>
          <w:sz w:val="32"/>
          <w:szCs w:val="32"/>
          <w:highlight w:val="none"/>
          <w:shd w:val="clear" w:color="auto" w:fill="FFFFFF"/>
          <w:lang w:val="zh-CN"/>
        </w:rPr>
      </w:pPr>
      <w:r>
        <w:rPr>
          <w:rFonts w:hint="default" w:ascii="Times New Roman" w:hAnsi="Times New Roman" w:eastAsia="方正楷体简体" w:cs="Times New Roman"/>
          <w:b/>
          <w:bCs/>
          <w:color w:val="000000"/>
          <w:kern w:val="0"/>
          <w:sz w:val="32"/>
          <w:szCs w:val="32"/>
          <w:highlight w:val="none"/>
          <w:shd w:val="clear" w:color="auto" w:fill="FFFFFF"/>
          <w:lang w:val="zh-CN" w:eastAsia="zh-CN" w:bidi="ar-SA"/>
        </w:rPr>
        <w:t>（三）</w:t>
      </w:r>
      <w:r>
        <w:rPr>
          <w:rFonts w:hint="default" w:ascii="Times New Roman" w:hAnsi="Times New Roman" w:eastAsia="方正楷体简体" w:cs="Times New Roman"/>
          <w:b/>
          <w:bCs/>
          <w:color w:val="000000"/>
          <w:kern w:val="0"/>
          <w:sz w:val="32"/>
          <w:szCs w:val="32"/>
          <w:highlight w:val="none"/>
          <w:shd w:val="clear" w:color="auto" w:fill="FFFFFF"/>
          <w:lang w:val="zh-CN" w:eastAsia="zh-CN"/>
        </w:rPr>
        <w:t>改进建议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1.深化目标标准管理，夯实预算编制基础​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一是严格绩效目标标准化管理，全面推行量化可考核的指标设定，确保目标值与业务实际精准匹配，杜绝模糊表述；二是建立常态化学训机制，组织业务科室及下属单位围绕核心职能与重点任务开展绩效目标编报实训，持续提升目标与预算的契合度；三是强化预算编制精准性，基于历史执行数据及年度工作优先级编制项目预算，从严控制预算调整频次，着力提高年初预算到位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2.强化执行效能管控，优化资金配置效率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一是严格执行预算明细化管理，对延续性项目预算编制强制要求分项列示测算依据（含单价、数量、标准），从源头防控预算偏差风险；二是实施动态执行双监控机制，建立资金支出进度与绩效目标达成联审制度，对进度滞后项目找准滞后原因，及时采取对应措施，对当年确实无法完成的项目资金及时调剂使用，切实提高财政资金使用效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3.完善监控反馈闭环，压实绩效管理责任</w:t>
      </w:r>
    </w:p>
    <w:p>
      <w:pPr>
        <w:keepNext w:val="0"/>
        <w:keepLines w:val="0"/>
        <w:pageBreakBefore w:val="0"/>
        <w:widowControl w:val="0"/>
        <w:kinsoku/>
        <w:wordWrap/>
        <w:overflowPunct/>
        <w:topLinePunct w:val="0"/>
        <w:autoSpaceDE/>
        <w:autoSpaceDN/>
        <w:bidi w:val="0"/>
        <w:spacing w:line="578" w:lineRule="exact"/>
        <w:ind w:firstLine="643" w:firstLineChars="200"/>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一是建立重点工作任务责任清单，将重点履职目标落实到具体科室、人员，并定期开展绩效目标完成情况跟踪，确保重点履职工作及时完成。二是严格绩效运行监控与财政资金执行挂钩，对绩效目标偏离过大、预算执行进度缓慢的项目应查找原因，及时调整、暂缓或停止预算项目拨款。</w:t>
      </w:r>
    </w:p>
    <w:p>
      <w:pPr>
        <w:keepNext w:val="0"/>
        <w:keepLines w:val="0"/>
        <w:pageBreakBefore w:val="0"/>
        <w:widowControl w:val="0"/>
        <w:kinsoku/>
        <w:wordWrap/>
        <w:overflowPunct/>
        <w:topLinePunct w:val="0"/>
        <w:autoSpaceDE/>
        <w:autoSpaceDN/>
        <w:bidi w:val="0"/>
        <w:spacing w:line="578" w:lineRule="exact"/>
        <w:ind w:firstLine="643" w:firstLineChars="200"/>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p>
    <w:p>
      <w:pPr>
        <w:keepNext w:val="0"/>
        <w:keepLines w:val="0"/>
        <w:pageBreakBefore w:val="0"/>
        <w:widowControl w:val="0"/>
        <w:kinsoku/>
        <w:wordWrap/>
        <w:overflowPunct/>
        <w:topLinePunct w:val="0"/>
        <w:autoSpaceDE/>
        <w:autoSpaceDN/>
        <w:bidi w:val="0"/>
        <w:spacing w:line="578" w:lineRule="exact"/>
        <w:ind w:firstLine="643" w:firstLineChars="200"/>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附表：1.部门预算绩效自评打分表</w:t>
      </w:r>
    </w:p>
    <w:p>
      <w:pPr>
        <w:keepNext w:val="0"/>
        <w:keepLines w:val="0"/>
        <w:pageBreakBefore w:val="0"/>
        <w:widowControl w:val="0"/>
        <w:kinsoku/>
        <w:wordWrap/>
        <w:overflowPunct/>
        <w:topLinePunct w:val="0"/>
        <w:autoSpaceDE/>
        <w:autoSpaceDN/>
        <w:bidi w:val="0"/>
        <w:spacing w:line="578" w:lineRule="exact"/>
        <w:ind w:firstLine="1606" w:firstLineChars="500"/>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2.部门整体绩效目标完成情况自评表</w:t>
      </w:r>
    </w:p>
    <w:p>
      <w:pPr>
        <w:keepNext w:val="0"/>
        <w:keepLines w:val="0"/>
        <w:pageBreakBefore w:val="0"/>
        <w:widowControl w:val="0"/>
        <w:kinsoku/>
        <w:wordWrap/>
        <w:overflowPunct/>
        <w:topLinePunct w:val="0"/>
        <w:autoSpaceDE/>
        <w:autoSpaceDN/>
        <w:bidi w:val="0"/>
        <w:spacing w:line="578" w:lineRule="exact"/>
        <w:ind w:firstLine="1606" w:firstLineChars="500"/>
        <w:jc w:val="both"/>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rPr>
      </w:pPr>
      <w:r>
        <w:rPr>
          <w:rFonts w:hint="default" w:ascii="Times New Roman" w:hAnsi="Times New Roman" w:eastAsia="方正仿宋简体" w:cs="Times New Roman"/>
          <w:b/>
          <w:bCs/>
          <w:color w:val="auto"/>
          <w:kern w:val="0"/>
          <w:sz w:val="32"/>
          <w:szCs w:val="32"/>
          <w:highlight w:val="none"/>
          <w:shd w:val="clear" w:color="auto" w:fill="FFFFFF"/>
          <w:lang w:val="en-US" w:eastAsia="zh-CN"/>
        </w:rPr>
        <w:t>3.部门预算项目支出绩效评价表（2024年度）</w:t>
      </w:r>
    </w:p>
    <w:p>
      <w:pPr>
        <w:pStyle w:val="7"/>
        <w:ind w:firstLine="422" w:firstLineChars="200"/>
        <w:rPr>
          <w:rFonts w:hint="default" w:ascii="Times New Roman" w:hAnsi="Times New Roman" w:eastAsia="方正仿宋简体" w:cs="Times New Roman"/>
          <w:b/>
          <w:bCs/>
          <w:color w:val="auto"/>
          <w:kern w:val="0"/>
          <w:szCs w:val="32"/>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104" w:firstLineChars="1900"/>
        <w:textAlignment w:val="auto"/>
        <w:rPr>
          <w:rFonts w:hint="default" w:ascii="Times New Roman" w:hAnsi="Times New Roman" w:eastAsia="方正仿宋简体" w:cs="Times New Roman"/>
          <w:b/>
          <w:bCs/>
          <w:color w:val="auto"/>
          <w:kern w:val="0"/>
          <w:sz w:val="32"/>
          <w:szCs w:val="32"/>
          <w:highlight w:val="none"/>
          <w:shd w:val="clear" w:color="auto" w:fill="FFFFFF"/>
          <w:lang w:val="en-US" w:eastAsia="zh-CN" w:bidi="ar-SA"/>
        </w:rPr>
      </w:pPr>
    </w:p>
    <w:p>
      <w:pPr>
        <w:keepNext w:val="0"/>
        <w:keepLines w:val="0"/>
        <w:pageBreakBefore w:val="0"/>
        <w:widowControl w:val="0"/>
        <w:kinsoku/>
        <w:wordWrap/>
        <w:overflowPunct/>
        <w:topLinePunct w:val="0"/>
        <w:autoSpaceDE/>
        <w:autoSpaceDN/>
        <w:bidi w:val="0"/>
        <w:spacing w:line="576" w:lineRule="exact"/>
        <w:ind w:firstLine="6425" w:firstLineChars="2000"/>
        <w:jc w:val="both"/>
        <w:textAlignment w:val="auto"/>
        <w:rPr>
          <w:rFonts w:hint="default" w:ascii="Times New Roman" w:hAnsi="Times New Roman" w:eastAsia="方正仿宋简体" w:cs="Times New Roman"/>
          <w:b/>
          <w:bCs/>
          <w:color w:val="auto"/>
          <w:kern w:val="0"/>
          <w:sz w:val="32"/>
          <w:szCs w:val="32"/>
          <w:highlight w:val="none"/>
          <w:lang w:val="en-US" w:eastAsia="zh-CN" w:bidi="ar-SA"/>
        </w:rPr>
        <w:sectPr>
          <w:footerReference r:id="rId8" w:type="default"/>
          <w:pgSz w:w="11906" w:h="16838"/>
          <w:pgMar w:top="2098" w:right="1474" w:bottom="1984" w:left="1587" w:header="851" w:footer="992" w:gutter="0"/>
          <w:pgNumType w:fmt="decimal" w:start="1"/>
          <w:cols w:space="425" w:num="1"/>
          <w:docGrid w:type="lines" w:linePitch="435" w:charSpace="0"/>
        </w:sect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outlineLvl w:val="9"/>
        <w:rPr>
          <w:rFonts w:hint="default" w:ascii="Times New Roman" w:hAnsi="Times New Roman" w:eastAsia="方正黑体简体" w:cs="Times New Roman"/>
          <w:b/>
          <w:bCs/>
          <w:i w:val="0"/>
          <w:color w:val="000000"/>
          <w:kern w:val="0"/>
          <w:sz w:val="32"/>
          <w:szCs w:val="32"/>
          <w:highlight w:val="none"/>
          <w:u w:val="none"/>
          <w:lang w:val="en-US" w:eastAsia="zh-CN" w:bidi="ar"/>
        </w:rPr>
      </w:pPr>
      <w:r>
        <w:rPr>
          <w:rFonts w:hint="default" w:ascii="Times New Roman" w:hAnsi="Times New Roman" w:eastAsia="方正黑体简体" w:cs="Times New Roman"/>
          <w:b/>
          <w:bCs/>
          <w:i w:val="0"/>
          <w:color w:val="000000"/>
          <w:kern w:val="0"/>
          <w:sz w:val="32"/>
          <w:szCs w:val="32"/>
          <w:highlight w:val="none"/>
          <w:u w:val="none"/>
          <w:lang w:val="en-US" w:eastAsia="zh-CN" w:bidi="ar"/>
        </w:rPr>
        <w:t>附表1</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outlineLvl w:val="9"/>
        <w:rPr>
          <w:rFonts w:hint="default" w:ascii="Times New Roman" w:hAnsi="Times New Roman" w:eastAsia="方正小标宋简体" w:cs="Times New Roman"/>
          <w:b/>
          <w:bCs/>
          <w:i w:val="0"/>
          <w:color w:val="000000"/>
          <w:kern w:val="0"/>
          <w:sz w:val="40"/>
          <w:szCs w:val="40"/>
          <w:highlight w:val="none"/>
          <w:u w:val="none"/>
          <w:lang w:val="en-US" w:eastAsia="zh-CN" w:bidi="ar"/>
        </w:rPr>
      </w:pPr>
      <w:r>
        <w:rPr>
          <w:rFonts w:hint="default" w:ascii="Times New Roman" w:hAnsi="Times New Roman" w:eastAsia="方正小标宋简体" w:cs="Times New Roman"/>
          <w:b/>
          <w:bCs/>
          <w:i w:val="0"/>
          <w:color w:val="000000"/>
          <w:kern w:val="0"/>
          <w:sz w:val="40"/>
          <w:szCs w:val="40"/>
          <w:highlight w:val="none"/>
          <w:u w:val="none"/>
          <w:lang w:val="en-US" w:eastAsia="zh-CN" w:bidi="ar"/>
        </w:rPr>
        <w:t>部门预算绩效自评打分表</w:t>
      </w:r>
    </w:p>
    <w:tbl>
      <w:tblPr>
        <w:tblStyle w:val="19"/>
        <w:tblW w:w="9765"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5"/>
        <w:gridCol w:w="1185"/>
        <w:gridCol w:w="1620"/>
        <w:gridCol w:w="660"/>
        <w:gridCol w:w="3870"/>
        <w:gridCol w:w="750"/>
        <w:gridCol w:w="5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exact"/>
        </w:trPr>
        <w:tc>
          <w:tcPr>
            <w:tcW w:w="45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黑体简体" w:cs="Times New Roman"/>
                <w:b/>
                <w:bCs/>
                <w:i w:val="0"/>
                <w:iCs w:val="0"/>
                <w:color w:val="000000"/>
                <w:sz w:val="21"/>
                <w:szCs w:val="21"/>
                <w:highlight w:val="none"/>
                <w:u w:val="none"/>
              </w:rPr>
            </w:pPr>
            <w:r>
              <w:rPr>
                <w:rStyle w:val="42"/>
                <w:rFonts w:hint="default" w:ascii="Times New Roman" w:hAnsi="Times New Roman" w:eastAsia="方正黑体简体" w:cs="Times New Roman"/>
                <w:b/>
                <w:bCs/>
                <w:sz w:val="21"/>
                <w:szCs w:val="21"/>
                <w:highlight w:val="none"/>
                <w:lang w:val="en-US" w:eastAsia="zh-CN" w:bidi="ar"/>
              </w:rPr>
              <w:t>绩效评价指标（指标分值）</w:t>
            </w:r>
          </w:p>
        </w:tc>
        <w:tc>
          <w:tcPr>
            <w:tcW w:w="38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黑体简体" w:cs="Times New Roman"/>
                <w:b/>
                <w:bCs/>
                <w:i w:val="0"/>
                <w:iCs w:val="0"/>
                <w:color w:val="000000"/>
                <w:sz w:val="21"/>
                <w:szCs w:val="21"/>
                <w:highlight w:val="none"/>
                <w:u w:val="none"/>
              </w:rPr>
            </w:pPr>
            <w:r>
              <w:rPr>
                <w:rStyle w:val="42"/>
                <w:rFonts w:hint="default" w:ascii="Times New Roman" w:hAnsi="Times New Roman" w:eastAsia="方正黑体简体" w:cs="Times New Roman"/>
                <w:b/>
                <w:bCs/>
                <w:sz w:val="21"/>
                <w:szCs w:val="21"/>
                <w:highlight w:val="none"/>
                <w:lang w:val="en-US" w:eastAsia="zh-CN" w:bidi="ar"/>
              </w:rPr>
              <w:t>指标解释</w:t>
            </w:r>
          </w:p>
        </w:tc>
        <w:tc>
          <w:tcPr>
            <w:tcW w:w="750"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42"/>
                <w:rFonts w:hint="default" w:ascii="Times New Roman" w:hAnsi="Times New Roman" w:eastAsia="方正黑体简体" w:cs="Times New Roman"/>
                <w:b/>
                <w:bCs/>
                <w:sz w:val="21"/>
                <w:szCs w:val="21"/>
                <w:highlight w:val="none"/>
                <w:lang w:val="en-US" w:eastAsia="zh-CN" w:bidi="ar"/>
              </w:rPr>
            </w:pPr>
            <w:r>
              <w:rPr>
                <w:rStyle w:val="42"/>
                <w:rFonts w:hint="default" w:ascii="Times New Roman" w:hAnsi="Times New Roman" w:eastAsia="方正黑体简体" w:cs="Times New Roman"/>
                <w:b/>
                <w:bCs/>
                <w:sz w:val="21"/>
                <w:szCs w:val="21"/>
                <w:highlight w:val="none"/>
                <w:lang w:val="en-US" w:eastAsia="zh-CN" w:bidi="ar"/>
              </w:rPr>
              <w:t>自评得分</w:t>
            </w:r>
          </w:p>
        </w:tc>
        <w:tc>
          <w:tcPr>
            <w:tcW w:w="555"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42"/>
                <w:rFonts w:hint="default" w:ascii="Times New Roman" w:hAnsi="Times New Roman" w:eastAsia="方正黑体简体" w:cs="Times New Roman"/>
                <w:b/>
                <w:bCs/>
                <w:sz w:val="21"/>
                <w:szCs w:val="21"/>
                <w:highlight w:val="none"/>
                <w:lang w:val="en-US" w:eastAsia="zh-CN" w:bidi="ar"/>
              </w:rPr>
            </w:pPr>
            <w:r>
              <w:rPr>
                <w:rStyle w:val="42"/>
                <w:rFonts w:hint="default" w:ascii="Times New Roman" w:hAnsi="Times New Roman" w:eastAsia="方正黑体简体" w:cs="Times New Roman"/>
                <w:b/>
                <w:bCs/>
                <w:sz w:val="21"/>
                <w:szCs w:val="21"/>
                <w:highlight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 w:hRule="exact"/>
        </w:trPr>
        <w:tc>
          <w:tcPr>
            <w:tcW w:w="112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黑体简体" w:cs="Times New Roman"/>
                <w:b/>
                <w:bCs/>
                <w:i w:val="0"/>
                <w:iCs w:val="0"/>
                <w:color w:val="000000"/>
                <w:sz w:val="21"/>
                <w:szCs w:val="21"/>
                <w:highlight w:val="none"/>
                <w:u w:val="none"/>
              </w:rPr>
            </w:pPr>
            <w:r>
              <w:rPr>
                <w:rStyle w:val="42"/>
                <w:rFonts w:hint="default" w:ascii="Times New Roman" w:hAnsi="Times New Roman" w:eastAsia="方正黑体简体" w:cs="Times New Roman"/>
                <w:b/>
                <w:bCs/>
                <w:sz w:val="21"/>
                <w:szCs w:val="21"/>
                <w:highlight w:val="none"/>
                <w:lang w:val="en-US" w:eastAsia="zh-CN" w:bidi="ar"/>
              </w:rPr>
              <w:t>一级指标</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黑体简体" w:cs="Times New Roman"/>
                <w:b/>
                <w:bCs/>
                <w:i w:val="0"/>
                <w:iCs w:val="0"/>
                <w:color w:val="000000"/>
                <w:sz w:val="21"/>
                <w:szCs w:val="21"/>
                <w:highlight w:val="none"/>
                <w:u w:val="none"/>
              </w:rPr>
            </w:pPr>
            <w:r>
              <w:rPr>
                <w:rStyle w:val="42"/>
                <w:rFonts w:hint="default" w:ascii="Times New Roman" w:hAnsi="Times New Roman" w:eastAsia="方正黑体简体" w:cs="Times New Roman"/>
                <w:b/>
                <w:bCs/>
                <w:sz w:val="21"/>
                <w:szCs w:val="21"/>
                <w:highlight w:val="none"/>
                <w:lang w:val="en-US" w:eastAsia="zh-CN" w:bidi="ar"/>
              </w:rPr>
              <w:t>二级指标</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黑体简体" w:cs="Times New Roman"/>
                <w:b/>
                <w:bCs/>
                <w:i w:val="0"/>
                <w:iCs w:val="0"/>
                <w:color w:val="000000"/>
                <w:sz w:val="21"/>
                <w:szCs w:val="21"/>
                <w:highlight w:val="none"/>
                <w:u w:val="none"/>
              </w:rPr>
            </w:pPr>
            <w:r>
              <w:rPr>
                <w:rStyle w:val="42"/>
                <w:rFonts w:hint="default" w:ascii="Times New Roman" w:hAnsi="Times New Roman" w:eastAsia="方正黑体简体" w:cs="Times New Roman"/>
                <w:b/>
                <w:bCs/>
                <w:sz w:val="21"/>
                <w:szCs w:val="21"/>
                <w:highlight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黑体简体" w:cs="Times New Roman"/>
                <w:b/>
                <w:bCs/>
                <w:i w:val="0"/>
                <w:iCs w:val="0"/>
                <w:color w:val="000000"/>
                <w:sz w:val="21"/>
                <w:szCs w:val="21"/>
                <w:highlight w:val="none"/>
                <w:u w:val="none"/>
              </w:rPr>
            </w:pPr>
            <w:r>
              <w:rPr>
                <w:rStyle w:val="42"/>
                <w:rFonts w:hint="default" w:ascii="Times New Roman" w:hAnsi="Times New Roman" w:eastAsia="方正黑体简体" w:cs="Times New Roman"/>
                <w:b/>
                <w:bCs/>
                <w:sz w:val="21"/>
                <w:szCs w:val="21"/>
                <w:highlight w:val="none"/>
                <w:lang w:val="en-US" w:eastAsia="zh-CN" w:bidi="ar"/>
              </w:rPr>
              <w:t>指标</w:t>
            </w:r>
            <w:r>
              <w:rPr>
                <w:rStyle w:val="43"/>
                <w:rFonts w:hint="default" w:ascii="Times New Roman" w:hAnsi="Times New Roman" w:eastAsia="方正黑体简体" w:cs="Times New Roman"/>
                <w:b/>
                <w:bCs/>
                <w:sz w:val="21"/>
                <w:szCs w:val="21"/>
                <w:highlight w:val="none"/>
                <w:lang w:val="en-US" w:eastAsia="zh-CN" w:bidi="ar"/>
              </w:rPr>
              <w:br w:type="textWrapping"/>
            </w:r>
            <w:r>
              <w:rPr>
                <w:rStyle w:val="42"/>
                <w:rFonts w:hint="default" w:ascii="Times New Roman" w:hAnsi="Times New Roman" w:eastAsia="方正黑体简体" w:cs="Times New Roman"/>
                <w:b/>
                <w:bCs/>
                <w:sz w:val="21"/>
                <w:szCs w:val="21"/>
                <w:highlight w:val="none"/>
                <w:lang w:val="en-US" w:eastAsia="zh-CN" w:bidi="ar"/>
              </w:rPr>
              <w:t>分值</w:t>
            </w:r>
          </w:p>
        </w:tc>
        <w:tc>
          <w:tcPr>
            <w:tcW w:w="3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黑体简体" w:cs="Times New Roman"/>
                <w:b/>
                <w:bCs/>
                <w:i w:val="0"/>
                <w:iCs w:val="0"/>
                <w:color w:val="000000"/>
                <w:sz w:val="21"/>
                <w:szCs w:val="21"/>
                <w:highlight w:val="none"/>
                <w:u w:val="none"/>
              </w:rPr>
            </w:pPr>
          </w:p>
        </w:tc>
        <w:tc>
          <w:tcPr>
            <w:tcW w:w="750"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黑体简体" w:cs="Times New Roman"/>
                <w:b/>
                <w:bCs/>
                <w:i w:val="0"/>
                <w:iCs w:val="0"/>
                <w:color w:val="000000"/>
                <w:sz w:val="21"/>
                <w:szCs w:val="21"/>
                <w:highlight w:val="none"/>
                <w:u w:val="none"/>
              </w:rPr>
            </w:pPr>
          </w:p>
        </w:tc>
        <w:tc>
          <w:tcPr>
            <w:tcW w:w="555"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黑体简体" w:cs="Times New Roman"/>
                <w:b/>
                <w:bCs/>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总体绩效</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65</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履职效能</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10</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业务履职能力</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10</w:t>
            </w:r>
          </w:p>
        </w:tc>
        <w:tc>
          <w:tcPr>
            <w:tcW w:w="3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选择</w:t>
            </w:r>
            <w:r>
              <w:rPr>
                <w:rStyle w:val="44"/>
                <w:rFonts w:hint="default" w:ascii="Times New Roman" w:hAnsi="Times New Roman" w:eastAsia="方正仿宋简体" w:cs="Times New Roman"/>
                <w:b/>
                <w:bCs/>
                <w:sz w:val="21"/>
                <w:szCs w:val="21"/>
                <w:highlight w:val="none"/>
                <w:lang w:val="en-US" w:eastAsia="zh-CN" w:bidi="ar"/>
              </w:rPr>
              <w:t>3—5</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个项目进行重点履职评价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9.82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预算管理</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33</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预算编制质量</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5</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部门（单位）是否严格按要求编制年初部门预算，年初预算编制的科学性和准确性</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政府债务管理</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6</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债券使用进度、新增隐债情况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收入组织管理</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5</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部门非税收入组织收缴完成情况，根据半年、全年完成情况考核。</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支出执行进度</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6</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w:t>
            </w:r>
            <w:r>
              <w:rPr>
                <w:rStyle w:val="44"/>
                <w:rFonts w:hint="default" w:ascii="Times New Roman" w:hAnsi="Times New Roman" w:eastAsia="方正仿宋简体" w:cs="Times New Roman"/>
                <w:b/>
                <w:bCs/>
                <w:sz w:val="21"/>
                <w:szCs w:val="21"/>
                <w:highlight w:val="none"/>
                <w:lang w:val="en-US" w:eastAsia="zh-CN" w:bidi="ar"/>
              </w:rPr>
              <w:t>1</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至</w:t>
            </w:r>
            <w:r>
              <w:rPr>
                <w:rStyle w:val="44"/>
                <w:rFonts w:hint="default" w:ascii="Times New Roman" w:hAnsi="Times New Roman" w:eastAsia="方正仿宋简体" w:cs="Times New Roman"/>
                <w:b/>
                <w:bCs/>
                <w:sz w:val="21"/>
                <w:szCs w:val="21"/>
                <w:highlight w:val="none"/>
                <w:lang w:val="en-US" w:eastAsia="zh-CN" w:bidi="ar"/>
              </w:rPr>
              <w:t>6</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月、</w:t>
            </w:r>
            <w:r>
              <w:rPr>
                <w:rStyle w:val="44"/>
                <w:rFonts w:hint="default" w:ascii="Times New Roman" w:hAnsi="Times New Roman" w:eastAsia="方正仿宋简体" w:cs="Times New Roman"/>
                <w:b/>
                <w:bCs/>
                <w:sz w:val="21"/>
                <w:szCs w:val="21"/>
                <w:highlight w:val="none"/>
                <w:lang w:val="en-US" w:eastAsia="zh-CN" w:bidi="ar"/>
              </w:rPr>
              <w:t>1</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至</w:t>
            </w:r>
            <w:r>
              <w:rPr>
                <w:rStyle w:val="44"/>
                <w:rFonts w:hint="default" w:ascii="Times New Roman" w:hAnsi="Times New Roman" w:eastAsia="方正仿宋简体" w:cs="Times New Roman"/>
                <w:b/>
                <w:bCs/>
                <w:sz w:val="21"/>
                <w:szCs w:val="21"/>
                <w:highlight w:val="none"/>
                <w:lang w:val="en-US" w:eastAsia="zh-CN" w:bidi="ar"/>
              </w:rPr>
              <w:t>12</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月支出执行情况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4.92</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预算年终结余</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6</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部门整体年终预算结余情况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5.99</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严控一般性  支出</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5</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部门严控</w:t>
            </w:r>
            <w:r>
              <w:rPr>
                <w:rStyle w:val="44"/>
                <w:rFonts w:hint="default" w:ascii="Times New Roman" w:hAnsi="Times New Roman" w:eastAsia="方正仿宋简体" w:cs="Times New Roman"/>
                <w:b/>
                <w:bCs/>
                <w:sz w:val="21"/>
                <w:szCs w:val="21"/>
                <w:highlight w:val="none"/>
                <w:lang w:val="en-US" w:eastAsia="zh-CN" w:bidi="ar"/>
              </w:rPr>
              <w:t>“</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三公</w:t>
            </w:r>
            <w:r>
              <w:rPr>
                <w:rStyle w:val="44"/>
                <w:rFonts w:hint="default" w:ascii="Times New Roman" w:hAnsi="Times New Roman" w:eastAsia="方正仿宋简体" w:cs="Times New Roman"/>
                <w:b/>
                <w:bCs/>
                <w:sz w:val="21"/>
                <w:szCs w:val="21"/>
                <w:highlight w:val="none"/>
                <w:lang w:val="en-US" w:eastAsia="zh-CN" w:bidi="ar"/>
              </w:rPr>
              <w:t>”</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经费、会议、培训、差旅、办节办展、办公设备购置、信息网络及软件购置更新、课题经费等</w:t>
            </w:r>
            <w:r>
              <w:rPr>
                <w:rStyle w:val="44"/>
                <w:rFonts w:hint="default" w:ascii="Times New Roman" w:hAnsi="Times New Roman" w:eastAsia="方正仿宋简体" w:cs="Times New Roman"/>
                <w:b/>
                <w:bCs/>
                <w:sz w:val="21"/>
                <w:szCs w:val="21"/>
                <w:highlight w:val="none"/>
                <w:lang w:val="en-US" w:eastAsia="zh-CN" w:bidi="ar"/>
              </w:rPr>
              <w:t>8</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项一般性支出情况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总体绩效</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65</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财务管理</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10</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财务管理制度</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4</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部门财务管理制度建立情况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总体绩效</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65</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财务管理</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10</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财务岗位设置</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2</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部门财务岗位设置是否符合相关财务管理制度要求</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资金使用规范</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4</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部门资金使用是否符合相关财务管理制度规定</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资产管理</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9</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人均资产变化率</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3</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主要评价部门（单位）人均资产变化情况。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资产利用率</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3</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主要评价部门（单位）资产超最低使用年限的情况。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资产盘活率</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3</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主要评价部门（单位）闲置一年以上的资产盘活情况。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采购管理</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3</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采购管理</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3</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部门是否严格执行政府采购相关管理办法</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exact"/>
        </w:trPr>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项目绩效</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35</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项目决策</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13</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决策程序</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6</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部门预算项目设立是否按规定开展事前绩效评估、事前绩效评估报告质量是否较高、是否出台预算绩效管理制度机制。</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5" w:hRule="exact"/>
        </w:trPr>
        <w:tc>
          <w:tcPr>
            <w:tcW w:w="1125"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项目绩效</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35</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项目决策</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13</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目标设置</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7</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部门预算项目绩效目标与计划期内的任务量、预算安排的资金量匹配情况，绩效目标设置是否科学合理、规范完整、量化细化、预算匹配、公示公开</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7</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exact"/>
        </w:trPr>
        <w:tc>
          <w:tcPr>
            <w:tcW w:w="1125" w:type="dxa"/>
            <w:vMerge w:val="continue"/>
            <w:tcBorders>
              <w:left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项目执行</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12</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执行同向</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5</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在自行监控中动态监控部门预算项目数量、质量、时效及绩效运行重点监控结果整改反馈情况。</w:t>
            </w:r>
          </w:p>
        </w:tc>
        <w:tc>
          <w:tcPr>
            <w:tcW w:w="750" w:type="dxa"/>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执行结果</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7</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通过开展绩效自评判断项目或部门整体执行结果的绩效水平。</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7</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1125" w:type="dxa"/>
            <w:vMerge w:val="continue"/>
            <w:tcBorders>
              <w:left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目标实现</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10</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目标偏离</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4</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绩效运行监控结果应用情况。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5" w:hRule="exact"/>
        </w:trPr>
        <w:tc>
          <w:tcPr>
            <w:tcW w:w="1125"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p>
        </w:tc>
        <w:tc>
          <w:tcPr>
            <w:tcW w:w="1185"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实现效果</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6</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重点绩效评价发现问题整改及</w:t>
            </w:r>
            <w:r>
              <w:rPr>
                <w:rStyle w:val="44"/>
                <w:rFonts w:hint="default" w:ascii="Times New Roman" w:hAnsi="Times New Roman" w:eastAsia="方正仿宋简体" w:cs="Times New Roman"/>
                <w:b/>
                <w:bCs/>
                <w:sz w:val="21"/>
                <w:szCs w:val="21"/>
                <w:highlight w:val="none"/>
                <w:lang w:val="en-US" w:eastAsia="zh-CN" w:bidi="ar"/>
              </w:rPr>
              <w:t>“</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回头看</w:t>
            </w:r>
            <w:r>
              <w:rPr>
                <w:rStyle w:val="44"/>
                <w:rFonts w:hint="default" w:ascii="Times New Roman" w:hAnsi="Times New Roman" w:eastAsia="方正仿宋简体" w:cs="Times New Roman"/>
                <w:b/>
                <w:bCs/>
                <w:sz w:val="21"/>
                <w:szCs w:val="21"/>
                <w:highlight w:val="none"/>
                <w:lang w:val="en-US" w:eastAsia="zh-CN" w:bidi="ar"/>
              </w:rPr>
              <w:t>”</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得分情况、部门整体支出绩效自评问题整改情况、预算绩效管理工作情况纳入部门年度绩效考核情况。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exact"/>
        </w:trPr>
        <w:tc>
          <w:tcPr>
            <w:tcW w:w="11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扣分项</w:t>
            </w:r>
            <w:r>
              <w:rPr>
                <w:rStyle w:val="44"/>
                <w:rFonts w:hint="default" w:ascii="Times New Roman" w:hAnsi="Times New Roman" w:eastAsia="方正仿宋简体" w:cs="Times New Roman"/>
                <w:b/>
                <w:bCs/>
                <w:sz w:val="21"/>
                <w:szCs w:val="21"/>
                <w:highlight w:val="none"/>
                <w:lang w:val="en-US" w:eastAsia="zh-CN" w:bidi="ar"/>
              </w:rPr>
              <w:br w:type="textWrapping"/>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r>
              <w:rPr>
                <w:rStyle w:val="44"/>
                <w:rFonts w:hint="default" w:ascii="Times New Roman" w:hAnsi="Times New Roman" w:eastAsia="方正仿宋简体" w:cs="Times New Roman"/>
                <w:b/>
                <w:bCs/>
                <w:sz w:val="21"/>
                <w:szCs w:val="21"/>
                <w:highlight w:val="none"/>
                <w:lang w:val="en-US" w:eastAsia="zh-CN" w:bidi="ar"/>
              </w:rPr>
              <w:t>10</w:t>
            </w: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分）</w:t>
            </w:r>
          </w:p>
        </w:tc>
        <w:tc>
          <w:tcPr>
            <w:tcW w:w="2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预算监督存在问题</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人大监督、巡视巡察、审计监督、财会监督查出财经纪律、财务会计等方面存在的问题严重程度</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方正仿宋简体" w:cs="Times New Roman"/>
                <w:b/>
                <w:bCs/>
                <w:i w:val="0"/>
                <w:iCs w:val="0"/>
                <w:color w:val="000000"/>
                <w:kern w:val="0"/>
                <w:sz w:val="22"/>
                <w:szCs w:val="22"/>
                <w:highlight w:val="none"/>
                <w:u w:val="none"/>
                <w:lang w:val="en-US" w:eastAsia="zh-CN"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2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被评价部门配合度</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被评价对象工作配合情况</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方正仿宋简体" w:cs="Times New Roman"/>
                <w:b/>
                <w:bCs/>
                <w:i w:val="0"/>
                <w:iCs w:val="0"/>
                <w:color w:val="000000"/>
                <w:kern w:val="0"/>
                <w:sz w:val="22"/>
                <w:szCs w:val="22"/>
                <w:highlight w:val="none"/>
                <w:u w:val="none"/>
                <w:lang w:val="en-US" w:eastAsia="zh-CN" w:bidi="ar"/>
              </w:rPr>
            </w:pPr>
            <w:r>
              <w:rPr>
                <w:rFonts w:hint="default" w:ascii="Times New Roman" w:hAnsi="Times New Roman" w:eastAsia="方正仿宋简体" w:cs="Times New Roman"/>
                <w:b/>
                <w:bCs/>
                <w:i w:val="0"/>
                <w:iCs w:val="0"/>
                <w:color w:val="000000"/>
                <w:kern w:val="0"/>
                <w:sz w:val="22"/>
                <w:szCs w:val="22"/>
                <w:highlight w:val="none"/>
                <w:u w:val="none"/>
                <w:lang w:val="en-US" w:eastAsia="zh-CN"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方正仿宋简体" w:cs="Times New Roman"/>
                <w:b/>
                <w:bCs/>
                <w:i w:val="0"/>
                <w:iCs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393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合计</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100</w:t>
            </w:r>
          </w:p>
        </w:tc>
        <w:tc>
          <w:tcPr>
            <w:tcW w:w="3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简体" w:cs="Times New Roman"/>
                <w:b/>
                <w:bCs/>
                <w:i w:val="0"/>
                <w:iCs w:val="0"/>
                <w:color w:val="000000"/>
                <w:sz w:val="21"/>
                <w:szCs w:val="21"/>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2"/>
                <w:szCs w:val="22"/>
                <w:highlight w:val="none"/>
                <w:u w:val="none"/>
                <w:lang w:val="en-US"/>
              </w:rPr>
            </w:pPr>
            <w:r>
              <w:rPr>
                <w:rFonts w:hint="default" w:ascii="Times New Roman" w:hAnsi="Times New Roman" w:eastAsia="宋体" w:cs="Times New Roman"/>
                <w:b/>
                <w:bCs/>
                <w:i w:val="0"/>
                <w:iCs w:val="0"/>
                <w:color w:val="000000"/>
                <w:kern w:val="0"/>
                <w:sz w:val="22"/>
                <w:szCs w:val="22"/>
                <w:highlight w:val="none"/>
                <w:u w:val="none"/>
                <w:lang w:val="en-US" w:eastAsia="zh-CN" w:bidi="ar"/>
              </w:rPr>
              <w:t>93.73</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default" w:ascii="Times New Roman" w:hAnsi="Times New Roman" w:eastAsia="方正仿宋简体" w:cs="Times New Roman"/>
                <w:b/>
                <w:bCs/>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393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合计（折算后）</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简体" w:cs="Times New Roman"/>
                <w:b/>
                <w:bCs/>
                <w:i w:val="0"/>
                <w:iCs w:val="0"/>
                <w:color w:val="000000"/>
                <w:sz w:val="21"/>
                <w:szCs w:val="21"/>
                <w:highlight w:val="none"/>
                <w:u w:val="none"/>
              </w:rPr>
            </w:pPr>
            <w:r>
              <w:rPr>
                <w:rFonts w:hint="default" w:ascii="Times New Roman" w:hAnsi="Times New Roman" w:eastAsia="方正仿宋简体" w:cs="Times New Roman"/>
                <w:b/>
                <w:bCs/>
                <w:i w:val="0"/>
                <w:iCs w:val="0"/>
                <w:color w:val="000000"/>
                <w:kern w:val="0"/>
                <w:sz w:val="21"/>
                <w:szCs w:val="21"/>
                <w:highlight w:val="none"/>
                <w:u w:val="none"/>
                <w:lang w:val="en-US" w:eastAsia="zh-CN" w:bidi="ar"/>
              </w:rPr>
              <w:t>100</w:t>
            </w:r>
          </w:p>
        </w:tc>
        <w:tc>
          <w:tcPr>
            <w:tcW w:w="38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18"/>
                <w:szCs w:val="18"/>
                <w:highlight w:val="none"/>
                <w:u w:val="none"/>
                <w:lang w:val="en-US"/>
              </w:rPr>
            </w:pPr>
            <w:r>
              <w:rPr>
                <w:rFonts w:hint="default" w:ascii="Times New Roman" w:hAnsi="Times New Roman" w:eastAsia="宋体" w:cs="Times New Roman"/>
                <w:b/>
                <w:bCs/>
                <w:i w:val="0"/>
                <w:iCs w:val="0"/>
                <w:color w:val="000000"/>
                <w:kern w:val="0"/>
                <w:sz w:val="21"/>
                <w:szCs w:val="21"/>
                <w:highlight w:val="none"/>
                <w:u w:val="none"/>
                <w:lang w:val="en-US" w:eastAsia="zh-CN" w:bidi="ar"/>
              </w:rPr>
              <w:t>93.73</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简体" w:cs="Times New Roman"/>
                <w:b/>
                <w:bCs/>
                <w:i w:val="0"/>
                <w:iCs w:val="0"/>
                <w:color w:val="000000"/>
                <w:sz w:val="21"/>
                <w:szCs w:val="21"/>
                <w:highlight w:val="none"/>
                <w:u w:val="none"/>
              </w:rPr>
            </w:pPr>
          </w:p>
        </w:tc>
      </w:tr>
    </w:tbl>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outlineLvl w:val="9"/>
        <w:rPr>
          <w:rFonts w:hint="default" w:ascii="Times New Roman" w:hAnsi="Times New Roman" w:eastAsia="方正小标宋简体" w:cs="Times New Roman"/>
          <w:b w:val="0"/>
          <w:bCs w:val="0"/>
          <w:i w:val="0"/>
          <w:color w:val="000000"/>
          <w:kern w:val="0"/>
          <w:sz w:val="44"/>
          <w:szCs w:val="44"/>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outlineLvl w:val="9"/>
        <w:rPr>
          <w:rFonts w:hint="default" w:ascii="Times New Roman" w:hAnsi="Times New Roman" w:eastAsia="方正小标宋简体" w:cs="Times New Roman"/>
          <w:b w:val="0"/>
          <w:bCs w:val="0"/>
          <w:i w:val="0"/>
          <w:color w:val="000000"/>
          <w:kern w:val="0"/>
          <w:sz w:val="44"/>
          <w:szCs w:val="44"/>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outlineLvl w:val="9"/>
        <w:rPr>
          <w:rFonts w:hint="default" w:ascii="Times New Roman" w:hAnsi="Times New Roman" w:eastAsia="方正小标宋简体" w:cs="Times New Roman"/>
          <w:b w:val="0"/>
          <w:bCs w:val="0"/>
          <w:i w:val="0"/>
          <w:color w:val="000000"/>
          <w:kern w:val="0"/>
          <w:sz w:val="44"/>
          <w:szCs w:val="44"/>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outlineLvl w:val="9"/>
        <w:rPr>
          <w:rFonts w:hint="default" w:ascii="Times New Roman" w:hAnsi="Times New Roman" w:eastAsia="方正小标宋简体" w:cs="Times New Roman"/>
          <w:b w:val="0"/>
          <w:bCs w:val="0"/>
          <w:i w:val="0"/>
          <w:color w:val="000000"/>
          <w:kern w:val="0"/>
          <w:sz w:val="44"/>
          <w:szCs w:val="44"/>
          <w:highlight w:val="none"/>
          <w:u w:val="none"/>
          <w:lang w:val="en-US" w:eastAsia="zh-CN" w:bidi="ar"/>
        </w:rPr>
      </w:pPr>
    </w:p>
    <w:p>
      <w:pPr>
        <w:pStyle w:val="8"/>
        <w:rPr>
          <w:rFonts w:hint="default" w:ascii="Times New Roman" w:hAnsi="Times New Roman" w:eastAsia="方正小标宋简体" w:cs="Times New Roman"/>
          <w:b w:val="0"/>
          <w:bCs w:val="0"/>
          <w:i w:val="0"/>
          <w:color w:val="000000"/>
          <w:kern w:val="0"/>
          <w:sz w:val="44"/>
          <w:szCs w:val="44"/>
          <w:highlight w:val="none"/>
          <w:u w:val="none"/>
          <w:lang w:val="en-US" w:eastAsia="zh-CN" w:bidi="ar"/>
        </w:rPr>
        <w:sectPr>
          <w:footerReference r:id="rId9" w:type="default"/>
          <w:pgSz w:w="11906" w:h="16838"/>
          <w:pgMar w:top="2098" w:right="1474" w:bottom="1984" w:left="1587" w:header="851" w:footer="992" w:gutter="0"/>
          <w:pgNumType w:fmt="decimal" w:start="39"/>
          <w:cols w:space="425" w:num="1"/>
          <w:docGrid w:type="lines" w:linePitch="312" w:charSpace="0"/>
        </w:sectPr>
      </w:pPr>
    </w:p>
    <w:p>
      <w:pPr>
        <w:rPr>
          <w:rFonts w:hint="default" w:ascii="Times New Roman" w:hAnsi="Times New Roman" w:eastAsia="黑体" w:cs="Times New Roman"/>
          <w:b/>
          <w:bCs/>
          <w:i w:val="0"/>
          <w:color w:val="000000"/>
          <w:kern w:val="0"/>
          <w:sz w:val="32"/>
          <w:szCs w:val="32"/>
          <w:highlight w:val="none"/>
          <w:u w:val="none"/>
          <w:lang w:val="en-US" w:eastAsia="zh-CN" w:bidi="ar"/>
        </w:rPr>
      </w:pPr>
      <w:r>
        <w:rPr>
          <w:rFonts w:hint="default" w:ascii="Times New Roman" w:hAnsi="Times New Roman" w:eastAsia="黑体" w:cs="Times New Roman"/>
          <w:b/>
          <w:bCs/>
          <w:i w:val="0"/>
          <w:color w:val="000000"/>
          <w:kern w:val="0"/>
          <w:sz w:val="32"/>
          <w:szCs w:val="32"/>
          <w:highlight w:val="none"/>
          <w:u w:val="none"/>
          <w:lang w:val="en-US" w:eastAsia="zh-CN" w:bidi="ar"/>
        </w:rPr>
        <w:t>附表2</w:t>
      </w:r>
    </w:p>
    <w:tbl>
      <w:tblPr>
        <w:tblStyle w:val="19"/>
        <w:tblW w:w="10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0"/>
        <w:gridCol w:w="848"/>
        <w:gridCol w:w="848"/>
        <w:gridCol w:w="1964"/>
        <w:gridCol w:w="1198"/>
        <w:gridCol w:w="1211"/>
        <w:gridCol w:w="1117"/>
        <w:gridCol w:w="994"/>
        <w:gridCol w:w="1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10740" w:type="dxa"/>
            <w:gridSpan w:val="9"/>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黑体" w:cs="Times New Roman"/>
                <w:i w:val="0"/>
                <w:iCs w:val="0"/>
                <w:color w:val="000000"/>
                <w:sz w:val="30"/>
                <w:szCs w:val="30"/>
                <w:u w:val="none"/>
              </w:rPr>
            </w:pPr>
            <w:r>
              <w:rPr>
                <w:rFonts w:hint="default" w:ascii="Times New Roman" w:hAnsi="Times New Roman" w:eastAsia="黑体" w:cs="Times New Roman"/>
                <w:i w:val="0"/>
                <w:iCs w:val="0"/>
                <w:color w:val="000000"/>
                <w:kern w:val="0"/>
                <w:sz w:val="30"/>
                <w:szCs w:val="30"/>
                <w:u w:val="none"/>
                <w:lang w:val="en-US" w:eastAsia="zh-CN" w:bidi="ar"/>
              </w:rPr>
              <w:t>部门整体绩效目标完成情况自评表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740" w:type="dxa"/>
            <w:gridSpan w:val="9"/>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740" w:type="dxa"/>
            <w:gridSpan w:val="9"/>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282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部门名称</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市残联部门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年度部门整体支出预算</w:t>
            </w: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资金总额</w:t>
            </w:r>
          </w:p>
        </w:tc>
        <w:tc>
          <w:tcPr>
            <w:tcW w:w="3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财政拨款</w:t>
            </w:r>
          </w:p>
        </w:tc>
        <w:tc>
          <w:tcPr>
            <w:tcW w:w="47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其他资金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4,505.87</w:t>
            </w:r>
          </w:p>
        </w:tc>
        <w:tc>
          <w:tcPr>
            <w:tcW w:w="3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4,505.87</w:t>
            </w:r>
          </w:p>
        </w:tc>
        <w:tc>
          <w:tcPr>
            <w:tcW w:w="47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right"/>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年度总体目标</w:t>
            </w:r>
          </w:p>
        </w:tc>
        <w:tc>
          <w:tcPr>
            <w:tcW w:w="961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紧紧围绕“深入推进‘量体裁衣’式个性化服务、为残疾人谋幸福”这个中心任务，以精心实施“惠残民生工程”为重点，为全市0-14岁残疾儿童少年开展康复训练，并为符合条件的三区残疾儿童手术、康复训练提供交通生活补助</w:t>
            </w:r>
            <w:r>
              <w:rPr>
                <w:rFonts w:hint="eastAsia"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为全市今年参加高考并被录取的残疾大学新生和残疾人子女大学新生发放助学补助；多种形式开展残疾人职业技能培训和自主创业扶持；开展阳光家园计划市本级集中托养服务；加强残疾人维权建设，对全市部分残疾人进行慰问和发放紧急救助补贴；加强残疾人组织建设，确保2024年“市残疾人文化艺术中心”正常运行；组队参加省残疾人运动会、省残疾人文化艺术节力争取得佳绩。通过一系列项目的实施，切实提高全市残疾人生活质量，提高残疾人综合素质，营造全社会尊重、关爱、帮助残疾人浓厚氛围，促进我市残疾人事业高质量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年度主要任务</w:t>
            </w: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任务名称</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主要内容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项目支出3：残疾人康复救助</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向全市225名残疾儿童少年提供康复救助，向三区户籍接受康复手术和训练的残疾儿童少年发放交通生活补助；对全市符合国家及省人工耳蜗植入手术的听力残疾儿童术前筛查检查补助；创建孤独症儿童康复区域中心，保障辅具中心正常运行，深入基层开展残疾人精准基本康复服务，加强康复知识宣传，努力提高受助残疾人生活自理和社会参与能力，让残疾人更快融入社会，让社会满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项目支出5：残疾人组织、维权及宣文体经费</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开展丰富多样的活动，为各类别残疾人专门协会举办各类活动提供资金支持；组织慰问残疾人，帮助困难残疾人温暖过冬、欢乐过年，帮助发生特别困难的残疾人摆脱临时困境；组织残疾人文化艺术等活动满足残疾人的精神文化需求，采取与媒体合作等多种方式开展残疾人事业宣传，开展励志报告团的宣讲；参加省残疾人运动会等比赛，举办各类友谊赛、特奥日、全民健身周等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项目支出9：康复中心保障运行经费</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保障康复中心大楼物管及其他运转支出。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项目支出4：“圆梦助学”工程</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拟向全市1280名残疾人大学新生和残疾人大学子女新生，按照3000——5000元/人标准发放助学金，通过项目的实施，切实减轻残疾人家庭负担，鼓励残疾人自立、自强、自信，让残疾人共享社会经济发展成果，增强残疾人获得感、幸福感、安全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项目支出6：残疾人技能培训和就业创业扶持</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残疾人进行初级盲人按摩、盲人电脑、计算机文本处理与短视频制作（直播带货）培训，组织全市就业指导员培训，通过培训，提高基层残疾人工作者能力，进一步改善残疾人生产生活状况，促进残疾人就业创业增收。对73户自主创业和现代农业残疾人就业创业进行扶持，对6名残疾人技能提升、15家超额安置残疾人就业、2家残疾人扶贫基地进行补助，通过一系列扶持和补助政策的实施，让残疾人树立自立自强的信心，让企业安置残疾人就业的积极性得到提高，鼓励残疾人自主提升职业技能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项目支出7：残疾人集中托养</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30名残疾学员开展阳光家园计划市本级集中托养服务，保障残疾人托养服务中心的正常运行，切实减轻残疾人家庭负担，同时还能减轻服务对象的障碍情况，很好地挖掘残疾人的潜能，达到明显的效果。新建市本级托养中心前期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项目支出8：残保金征收及残疾人就业创业工作经费</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安置残疾人就业残保金征收宣传工作；开展残疾人就业状况调查、社会用工调查、行政执法检查工作等残疾人就业工作经费；残疾人就业招聘会；市政府领导签批11个聘用人员工资。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项目支出2：驻村工作经费</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为1名驻村工作人员驻村期间补助补贴、交通费、慰问走访、外出学习等提供经费保障，从而保障我会驻泸县福集镇螺丝山村1名工作人员驻村期间正常开展工作，协助各级政府带领全村村民实现共同富裕。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项目支出10：精准康复及残疾人辅具中心经费</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康联体建设</w:t>
            </w:r>
            <w:r>
              <w:rPr>
                <w:rFonts w:hint="eastAsia"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孤独症儿童康复区域中心，康复培训，残疾儿童活动、宣传及慰问等；辅具中心保障运行经费，主要包括残疾人辅具适配、购买劳务、辅具用具运行维护等；市政府领导签批9个聘用人员工资。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项目支出11：市残疾人文化艺术中心运行经费</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保障市残疾人文化艺术中心正常运行，丰富残疾人精神文化生活，提高残疾人综合素质，通过项目的实施，引导和鼓励全社会都来关心、支持残疾人事业，形成理解、尊重、关心、帮助残疾人的良好社会风尚，促进“平等、参与、共享”目标的实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基本支出：人员类、公用经费等运转类支出</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保障部门本级及下属2个预算单位人员类、公用经费等运转类支出。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项目支出1：量服及规范化建设</w:t>
            </w:r>
          </w:p>
        </w:tc>
        <w:tc>
          <w:tcPr>
            <w:tcW w:w="79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开展量服入户调研、慰问，精准掌握残疾人基本状况；在全市开展残疾人工作者培训，提高各级残疾人工作者服务残疾人的能力和水平；通过精准施策、精准监督、精准管理，使各级各部门实施的涉残政策落地落实，让残疾人得到更多实惠，从而提升全市残疾人幸福指数；为市残联门户网站等信息平台的正常运行提供保障，保障特种专业设备用车正常运行，为全市残疾人提供“量体裁衣”式个性化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年度绩效指标</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绩效指标性质</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绩效指标值</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绩效度量单位</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实际完成指标值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残就所聘用人员人数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超额安置残疾人企业补助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法治检查或无障碍监督活动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辅具中心购买劳务人数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开展残疾人体育活动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开展艺术团演出场数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康复救助残疾儿童人数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康复救助残疾儿童训练时间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月</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康复训练次数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辅助性就业机构补贴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高校毕业生就业补助人数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工疗、农疗项目次数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购材料</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批</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活动次数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监管康复训练机构数量</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家</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交通生活补助人数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紧急救助人数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开展残疾评定机构培训次数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量服精准监督和管理残疾人人数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量服入户慰问人次</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盲人医疗按摩考试与继续教育人数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媒体新闻宣传次数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次/年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派驻驻村干部人数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培训班次</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培训残疾人工作者人数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培训期数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期</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培训天数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天</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签约新闻媒体数量</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家</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人工耳蜗术前筛查检查人数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社会助残组织活动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生活自理能力训练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手工培训</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受益人数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托养学员人数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完成省市招聘会、业务培训会次数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完成行政执法检查、就业状况、社会用工调查企业数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维修维护面积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平方米</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慰问人数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宣传次数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宣传对象覆盖数量</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质保金项目数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年度绩效指标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专门协会、社会助残组织活动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租用面积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平方米</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康复中心聘用人员</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参赛项目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个</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残疾儿童慰问人数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残疾人创办企业社保补贴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残疾人大学新生和残疾人子女大学新生人数</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残疾人就业扶贫基地补助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残疾人职业技能培训</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残疾人自主创业和现代农业项目补助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户</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质量指标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区县实地查看就业创业户完成率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市级抽查当年申报户数完成率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网站正常使用率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政策宣传覆盖率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驻村人员出勤率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补助大学生发放到位及准确率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材料合格率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残疾儿童康复有效率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残疾人运动员通过训练后参赛率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残疾人职业技能培训合格率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促进按比例安置残疾人就业率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档案归档规范率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岗前及稳岗培训合格率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合规使用经费率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活动参与率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救助、慰问金发放到位率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开展职业康复训练活动及时性</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康复机构评估覆盖率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康复中心维修合格率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量服培训合格率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盲人医疗按摩考试与继续教育合格率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媒体宣传次数完成率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培训合格率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时效指标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区县收集资料和实地查看完成时间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月</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项目完成时间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月</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经济效益指标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残疾人就业率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促进社会关心、理解、支持残疾人的社会氛围</w:t>
            </w:r>
            <w:r>
              <w:rPr>
                <w:rFonts w:hint="eastAsia"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理解、支持残疾人的社会氛围更加浓厚</w:t>
            </w:r>
            <w:r>
              <w:rPr>
                <w:rFonts w:hint="eastAsia" w:cs="Times New Roman"/>
                <w:i w:val="0"/>
                <w:iCs w:val="0"/>
                <w:color w:val="000000"/>
                <w:kern w:val="0"/>
                <w:sz w:val="18"/>
                <w:szCs w:val="18"/>
                <w:u w:val="none"/>
                <w:lang w:val="en-US" w:eastAsia="zh-CN" w:bidi="ar"/>
              </w:rPr>
              <w:t>）</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村容村貌，群众生活水平（村容村貌环境干净整洁，群众生活水平明显提升）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带动残疾人发展增收，改善残疾人家庭生活状况（残疾人职业技能得到提升，促进残疾人实现就业创业）</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年度绩效指标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关心、理解、支持残疾人的社会氛围（常态化开展量服精准监督、入户调研、慰问等，广泛宣传涉残各项政策，持续为残疾人办实事）</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社会对残疾人工作的满意度，关心、理解、支持残疾人的社会氛围（提高人人参与残疾人事业的积极性）</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提高残疾人融入社会能力</w:t>
            </w:r>
            <w:r>
              <w:rPr>
                <w:rFonts w:hint="eastAsia"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残疾人事业与经济社会协调发展</w:t>
            </w:r>
            <w:r>
              <w:rPr>
                <w:rFonts w:hint="eastAsia"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提高康复中心服务水平。（提高残疾人参与社会能力）</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提升残疾人享有公共文化服务（常态化开展各类活动，丰富残疾人精神文化生活，残疾人公共文化服务质量显著提升）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提升档案管理水平 （规范管理档案，实现纸质化、电子化档案同步收集、整理、管理）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托养学员接受教育和康复水平</w:t>
            </w:r>
            <w:r>
              <w:rPr>
                <w:rFonts w:hint="eastAsia"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掌握基本的生活技能</w:t>
            </w:r>
            <w:r>
              <w:rPr>
                <w:rFonts w:hint="eastAsia" w:cs="Times New Roman"/>
                <w:i w:val="0"/>
                <w:iCs w:val="0"/>
                <w:color w:val="000000"/>
                <w:kern w:val="0"/>
                <w:sz w:val="18"/>
                <w:szCs w:val="18"/>
                <w:u w:val="none"/>
                <w:lang w:val="en-US" w:eastAsia="zh-CN" w:bidi="ar"/>
              </w:rPr>
              <w:t>）</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营造全社会助残和残疾人自强的文明社会氛围（丰富残疾人精神文化生活，社会各界尊重、关爱、帮助残疾人）</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有需求残疾儿童得到基本康复服务覆盖率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5"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泸州残疾人体育竞技水平（培养残疾人运动员队伍，提升残疾人的运动水平，残疾人身体素质不断提高，残疾人体育赛事</w:t>
            </w:r>
            <w:r>
              <w:rPr>
                <w:rFonts w:hint="eastAsia" w:cs="Times New Roman"/>
                <w:i w:val="0"/>
                <w:iCs w:val="0"/>
                <w:color w:val="000000"/>
                <w:kern w:val="0"/>
                <w:sz w:val="18"/>
                <w:szCs w:val="18"/>
                <w:u w:val="none"/>
                <w:lang w:val="en-US" w:eastAsia="zh-CN" w:bidi="ar"/>
              </w:rPr>
              <w:t>氛围</w:t>
            </w:r>
            <w:r>
              <w:rPr>
                <w:rFonts w:hint="default" w:ascii="Times New Roman" w:hAnsi="Times New Roman" w:eastAsia="宋体" w:cs="Times New Roman"/>
                <w:i w:val="0"/>
                <w:iCs w:val="0"/>
                <w:color w:val="000000"/>
                <w:kern w:val="0"/>
                <w:sz w:val="18"/>
                <w:szCs w:val="18"/>
                <w:u w:val="none"/>
                <w:lang w:val="en-US" w:eastAsia="zh-CN" w:bidi="ar"/>
              </w:rPr>
              <w:t>不断浓厚，赛事影响力不断扩大）</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关心、理解、支持残疾人的社会氛围（常态化开展宣传工作，在重要时间节点开展宣传，营造良好氛围。）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关心残疾人和助残扶残社会氛围（社会、单位、组织、群众等全部知晓涉残政策，积极主动参与残疾人事业发展）</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就业服务能力水平</w:t>
            </w:r>
            <w:r>
              <w:rPr>
                <w:rFonts w:hint="eastAsia"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提升就业服务能力水平</w:t>
            </w:r>
            <w:r>
              <w:rPr>
                <w:rFonts w:hint="eastAsia" w:cs="Times New Roman"/>
                <w:i w:val="0"/>
                <w:iCs w:val="0"/>
                <w:color w:val="000000"/>
                <w:kern w:val="0"/>
                <w:sz w:val="18"/>
                <w:szCs w:val="18"/>
                <w:u w:val="none"/>
                <w:lang w:val="en-US" w:eastAsia="zh-CN" w:bidi="ar"/>
              </w:rPr>
              <w:t>）</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残疾人创业的信心</w:t>
            </w:r>
            <w:r>
              <w:rPr>
                <w:rFonts w:hint="eastAsia"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增强残疾人创业的信心</w:t>
            </w:r>
            <w:r>
              <w:rPr>
                <w:rFonts w:hint="eastAsia" w:cs="Times New Roman"/>
                <w:i w:val="0"/>
                <w:iCs w:val="0"/>
                <w:color w:val="000000"/>
                <w:kern w:val="0"/>
                <w:sz w:val="18"/>
                <w:szCs w:val="18"/>
                <w:u w:val="none"/>
                <w:lang w:val="en-US" w:eastAsia="zh-CN" w:bidi="ar"/>
              </w:rPr>
              <w:t>）</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残疾人家庭经济支出（减轻残疾人大学新生及残疾人子女家庭生活负担）</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残疾人家庭经济支出（减轻残疾人家庭经济负担）</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残疾人家庭经济支出（有效减轻残疾人家庭支出经济负担，保障残疾人基本生活需求。）</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残疾人事业与经济社会协调发展（残疾人基本生活水平得到明显改善，健康状况得到改善，社会保障得到夯实，残疾人平等参与的环境更加友好。）</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残疾人运动员的身体素质（对残疾人运动员采取个性化的专项训练，配备专业指导教练，残疾人运动员身体素质不断增强，竞技水平不断提升）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促进残疾人均发展增收</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2"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可持续发展指标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残疾人事业与经济社会协调发展（残疾人基本生活水平明显提高，社会保障得到夯实，残疾人平等参与的环境更加友好）</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可持续影响指标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残疾人事业与经济社会协调发展（通过新闻宣传、社会宣传、网络宣传、文艺宣传等多种途径营造社会助残扶残良好氛围。）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建立残联与残疾人的桥梁（经常性开展活动，深入了解残疾群众思想、生活状况，各协会建立残联与残疾人桥梁作用显著提升）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提高村级治理能力（建强村级党组织、推进强村富民、为民办事等方面显著提高）</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提高全市残疾评定质量，规范全市残疾评定工作（通过对全市残疾证评定机构培训，统一评残标准，更加客观公正、合理评残）</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提升村民满意度、幸福感（通过驻村工作，村民对村上工作表示认可，满意度、幸福感明显提升）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推动残疾人事业发展（积极发挥协会桥梁纽带作用，积极解决残疾人需求，有序推进各项工作）</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年度绩效指标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满意度指标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服务对象满意度指标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接受康复残疾儿童家长满意度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群众知晓率与参与率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受训人员满意度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受益残疾人满意度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受助残疾人满意度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慰问对象满意度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安置残疾人机构满意度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参与者满意度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残疾儿童或家属对康复服务的满意度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残疾人及残疾人家庭满意度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残疾人运动员满意率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服务对象满意度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观众对四川残疾人艺术团表演满意度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成本指标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经济成本指标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盲人医疗按摩考试与继续教育</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培训综合定额标准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聘用人员、残疾人就业服务劳务费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聘用人员标准，购买劳务标准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评残培训会务资料、住宿、餐饮等</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人工耳蜗术前筛查检查</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省艺术团演出每个节目收费标准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元/个</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特种设备用车（辅具车）年定额标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托养学员包干经费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维护及运转费用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物管及其他运转费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误工补助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新托养中心前期工作经费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行政执法检查、就业状况、社会用工调查经费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元旦春节慰问标准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元/户</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志愿者交通、餐饮补助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质保金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驻村人员工作经费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专科升本科直接补助标准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10名教职工生活费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残疾人创办企业社保补贴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残疾人技能提升补助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元/户</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残疾人就业扶贫基地补助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残疾人招聘会</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残疾人职业技能培训</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超额安置残疾人企业补助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大楼维修费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大楼物管费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年度绩效指标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成本指标</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经济成本指标</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房租租金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元/平方米</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本科及以上学生直接补助标准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专科学生直接补助标准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专门协会主席、副主席交通补助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自主创业和现代农业补助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元/户</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辅助性就业机构补贴</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岗前及稳岗培训</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高校毕业生就业补助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交通生活补助康复手术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交通生活补助康复训练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元/人*月</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救助标准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开展依法治市及无障碍活动经费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康复救助残疾儿童费用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元/人年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康复中心物管费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r>
    </w:tbl>
    <w:p>
      <w:pPr>
        <w:pStyle w:val="8"/>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outlineLvl w:val="9"/>
        <w:rPr>
          <w:rFonts w:hint="default" w:ascii="Times New Roman" w:hAnsi="Times New Roman" w:eastAsia="方正小标宋简体" w:cs="Times New Roman"/>
          <w:b w:val="0"/>
          <w:bCs w:val="0"/>
          <w:i w:val="0"/>
          <w:color w:val="000000"/>
          <w:kern w:val="0"/>
          <w:sz w:val="44"/>
          <w:szCs w:val="44"/>
          <w:highlight w:val="none"/>
          <w:u w:val="none"/>
          <w:lang w:val="en-US" w:eastAsia="zh-CN" w:bidi="ar"/>
        </w:rPr>
      </w:pPr>
    </w:p>
    <w:p>
      <w:pPr>
        <w:keepNext w:val="0"/>
        <w:keepLines w:val="0"/>
        <w:pageBreakBefore w:val="0"/>
        <w:widowControl w:val="0"/>
        <w:kinsoku/>
        <w:wordWrap/>
        <w:overflowPunct/>
        <w:topLinePunct w:val="0"/>
        <w:autoSpaceDE/>
        <w:autoSpaceDN/>
        <w:bidi w:val="0"/>
        <w:spacing w:line="576" w:lineRule="exact"/>
        <w:jc w:val="both"/>
        <w:textAlignment w:val="auto"/>
        <w:rPr>
          <w:rFonts w:hint="default" w:ascii="Times New Roman" w:hAnsi="Times New Roman" w:eastAsia="方正仿宋简体" w:cs="Times New Roman"/>
          <w:b/>
          <w:bCs/>
          <w:color w:val="auto"/>
          <w:kern w:val="0"/>
          <w:sz w:val="32"/>
          <w:szCs w:val="32"/>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right="0" w:firstLine="643" w:firstLineChars="200"/>
        <w:contextualSpacing/>
        <w:jc w:val="both"/>
        <w:textAlignment w:val="auto"/>
        <w:rPr>
          <w:rFonts w:hint="default" w:ascii="Times New Roman" w:hAnsi="Times New Roman" w:cs="Times New Roman"/>
          <w:b/>
          <w:bCs/>
          <w:color w:val="FF0000"/>
          <w:kern w:val="0"/>
          <w:sz w:val="32"/>
          <w:szCs w:val="32"/>
          <w:highlight w:val="yellow"/>
          <w:shd w:val="clear" w:color="auto" w:fill="FFFFFF"/>
          <w:lang w:val="zh-CN"/>
        </w:rPr>
      </w:pPr>
    </w:p>
    <w:p>
      <w:pPr>
        <w:rPr>
          <w:rFonts w:hint="default" w:ascii="Times New Roman" w:hAnsi="Times New Roman" w:eastAsia="黑体" w:cs="Times New Roman"/>
          <w:b/>
          <w:bCs/>
          <w:color w:val="auto"/>
          <w:kern w:val="0"/>
          <w:sz w:val="32"/>
          <w:szCs w:val="32"/>
          <w:highlight w:val="none"/>
          <w:shd w:val="clear" w:color="auto" w:fill="FFFFFF"/>
          <w:lang w:val="zh-CN"/>
        </w:rPr>
      </w:pPr>
      <w:r>
        <w:rPr>
          <w:rFonts w:hint="default" w:ascii="Times New Roman" w:hAnsi="Times New Roman" w:eastAsia="黑体" w:cs="Times New Roman"/>
          <w:b/>
          <w:bCs/>
          <w:color w:val="auto"/>
          <w:kern w:val="0"/>
          <w:sz w:val="32"/>
          <w:szCs w:val="32"/>
          <w:highlight w:val="none"/>
          <w:shd w:val="clear" w:color="auto" w:fill="FFFFFF"/>
          <w:lang w:val="zh-CN"/>
        </w:rPr>
        <w:br w:type="page"/>
      </w:r>
    </w:p>
    <w:p>
      <w:pPr>
        <w:pStyle w:val="8"/>
        <w:rPr>
          <w:rFonts w:hint="default" w:ascii="Times New Roman" w:hAnsi="Times New Roman" w:eastAsia="黑体" w:cs="Times New Roman"/>
          <w:b/>
          <w:bCs/>
          <w:color w:val="auto"/>
          <w:kern w:val="0"/>
          <w:sz w:val="32"/>
          <w:szCs w:val="32"/>
          <w:highlight w:val="none"/>
          <w:shd w:val="clear" w:color="auto" w:fill="FFFFFF"/>
          <w:lang w:val="en-US" w:eastAsia="zh-CN"/>
        </w:rPr>
      </w:pPr>
      <w:r>
        <w:rPr>
          <w:rFonts w:hint="default" w:ascii="Times New Roman" w:hAnsi="Times New Roman" w:eastAsia="黑体" w:cs="Times New Roman"/>
          <w:b/>
          <w:bCs/>
          <w:color w:val="auto"/>
          <w:kern w:val="0"/>
          <w:sz w:val="32"/>
          <w:szCs w:val="32"/>
          <w:highlight w:val="none"/>
          <w:shd w:val="clear" w:color="auto" w:fill="FFFFFF"/>
          <w:lang w:val="zh-CN"/>
        </w:rPr>
        <w:t>附表</w:t>
      </w:r>
      <w:r>
        <w:rPr>
          <w:rFonts w:hint="default" w:ascii="Times New Roman" w:hAnsi="Times New Roman" w:eastAsia="黑体" w:cs="Times New Roman"/>
          <w:b/>
          <w:bCs/>
          <w:color w:val="auto"/>
          <w:kern w:val="0"/>
          <w:sz w:val="32"/>
          <w:szCs w:val="32"/>
          <w:highlight w:val="none"/>
          <w:shd w:val="clear" w:color="auto" w:fill="FFFFFF"/>
          <w:lang w:val="en-US" w:eastAsia="zh-CN"/>
        </w:rPr>
        <w:t>3</w:t>
      </w:r>
    </w:p>
    <w:tbl>
      <w:tblPr>
        <w:tblStyle w:val="19"/>
        <w:tblW w:w="105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5"/>
        <w:gridCol w:w="1041"/>
        <w:gridCol w:w="840"/>
        <w:gridCol w:w="1710"/>
        <w:gridCol w:w="660"/>
        <w:gridCol w:w="720"/>
        <w:gridCol w:w="630"/>
        <w:gridCol w:w="810"/>
        <w:gridCol w:w="585"/>
        <w:gridCol w:w="630"/>
        <w:gridCol w:w="2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简体" w:cs="Times New Roman"/>
                <w:b w:val="0"/>
                <w:bCs w:val="0"/>
                <w:i w:val="0"/>
                <w:iCs w:val="0"/>
                <w:color w:val="000000"/>
                <w:sz w:val="30"/>
                <w:szCs w:val="30"/>
                <w:u w:val="none"/>
              </w:rPr>
            </w:pPr>
            <w:r>
              <w:rPr>
                <w:rFonts w:hint="default" w:ascii="Times New Roman" w:hAnsi="Times New Roman" w:eastAsia="方正黑体简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51050021T000000040505-圆梦助学工程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为了体现党领导下的社会主义制度优越性，鼓励残疾人自立、自强、自信，提高残疾人及家庭科学文化素质，让残疾人共享社会经济发展成果，增强残疾人获得感、幸福感、安全感。根据《泸州市残疾人“圆梦助学工程”实施方案》（泸市残〔2018〕145号）文件精神，2024年拟向全市1280余名残疾人大学新生和残疾人大学子女新生发放助学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推动和帮助解决我市2024年残疾大学新生和残疾人家庭子女大学新生上学难的问题，让当年1587名参加全国普通高考考上大学的残疾大学新生和残疾人子女</w:t>
            </w:r>
            <w:r>
              <w:rPr>
                <w:rFonts w:hint="eastAsia" w:cs="Times New Roman"/>
                <w:b w:val="0"/>
                <w:bCs w:val="0"/>
                <w:i w:val="0"/>
                <w:iCs w:val="0"/>
                <w:color w:val="000000"/>
                <w:kern w:val="0"/>
                <w:sz w:val="20"/>
                <w:szCs w:val="20"/>
                <w:u w:val="none"/>
                <w:lang w:val="en-US" w:eastAsia="zh-CN" w:bidi="ar"/>
              </w:rPr>
              <w:t>大学</w:t>
            </w:r>
            <w:r>
              <w:rPr>
                <w:rFonts w:hint="default" w:ascii="Times New Roman" w:hAnsi="Times New Roman" w:eastAsia="宋体" w:cs="Times New Roman"/>
                <w:b w:val="0"/>
                <w:bCs w:val="0"/>
                <w:i w:val="0"/>
                <w:iCs w:val="0"/>
                <w:color w:val="000000"/>
                <w:kern w:val="0"/>
                <w:sz w:val="20"/>
                <w:szCs w:val="20"/>
                <w:u w:val="none"/>
                <w:lang w:val="en-US" w:eastAsia="zh-CN" w:bidi="ar"/>
              </w:rPr>
              <w:t>新学生每人得到2000元-5000元的资助，减轻残疾人家庭负担，共享经济社会发展成果。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具有泸州市户籍，被大专以上院校录取的城乡家庭残疾人新生和残疾人子女新生</w:t>
            </w:r>
            <w:r>
              <w:rPr>
                <w:rFonts w:hint="eastAsia" w:cs="Times New Roman"/>
                <w:b w:val="0"/>
                <w:bCs w:val="0"/>
                <w:i w:val="0"/>
                <w:iCs w:val="0"/>
                <w:color w:val="000000"/>
                <w:kern w:val="0"/>
                <w:sz w:val="20"/>
                <w:szCs w:val="20"/>
                <w:u w:val="none"/>
                <w:lang w:val="en-US" w:eastAsia="zh-CN" w:bidi="ar"/>
              </w:rPr>
              <w:t>到</w:t>
            </w:r>
            <w:r>
              <w:rPr>
                <w:rFonts w:hint="default" w:ascii="Times New Roman" w:hAnsi="Times New Roman" w:eastAsia="宋体" w:cs="Times New Roman"/>
                <w:b w:val="0"/>
                <w:bCs w:val="0"/>
                <w:i w:val="0"/>
                <w:iCs w:val="0"/>
                <w:color w:val="000000"/>
                <w:kern w:val="0"/>
                <w:sz w:val="20"/>
                <w:szCs w:val="20"/>
                <w:u w:val="none"/>
                <w:lang w:val="en-US" w:eastAsia="zh-CN" w:bidi="ar"/>
              </w:rPr>
              <w:t>户籍所在地乡镇（街道）残联提出申请，乡镇（街道）残联并接收相应材料。经初审后将相关资料上报到所在县（区）残联，经县（区）残联、财政局初审公示签字盖公章后，汇总上报到市残联，经核实无误，由市残联和市财政局按程序拨付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629.20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629.20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当年预算数是以上年执行数为基数进行预算的，随着残疾人受教育水平的不断增长，每年考上的人数增长较大，据实进行年中预算调整，追加129.2万元。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629.20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629.20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残疾人大学新生和残疾人子女大学新生人数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1280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1587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补助大学生发放到位及准确率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残疾人家庭经济支出（减轻残疾人大学新生及残疾人子女家庭生活负担）</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关心残疾人和助残扶残社会氛围（社会、单位、组织、群众等全部知晓涉残政策，积极主动参与残疾人事业发展）</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受助残疾人满意度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专科升本科直接补助标准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专科学生直接补助标准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本科及以上学生直接补助标准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圆梦助学工程”的实施，推动和帮助解决了我市残疾大学生和残疾人家庭子女大学生上学难的问题，减轻了残疾人家庭负担；同时加快了教育事业的发展，推进教育公平，增进残疾人家庭福祉，让残疾人共享经济社会的发展成果，促进社会和谐，产生了良好的社会效益，让残疾人家庭感受到了政府的温暖。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近年来，教育水平的提高和高考形式发生的变化，有很多是单独招生、对口高职，还有一部分是专升本、本升硕等，考上大学的残疾人和残疾人子女数量突飞猛进，导致年初预算超支，年中进行了预算调整。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前督促区县残联彻底调查清楚属地就读的高三残疾人和残疾人子女人数，为预算提供精准数据。积极对接市招办，当年考上大学的泸州籍残疾人和残疾人子女需在市招办系统进行比对，为精准实施“圆梦助学”项目提供双重保障。加大政策宣传力度。充分利用报刊、电视、广播、网络等媒体，全方位、多角度地进行宣传，让学生和家长及时、全面地了解助学金的相关政策及实施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项目负责人：王付君</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pageBreakBefore w:val="0"/>
              <w:kinsoku/>
              <w:wordWrap/>
              <w:overflowPunct/>
              <w:topLinePunct w:val="0"/>
              <w:autoSpaceDE/>
              <w:autoSpaceDN/>
              <w:bidi w:val="0"/>
              <w:adjustRightInd/>
              <w:snapToGrid/>
              <w:spacing w:before="0" w:after="0" w:line="240" w:lineRule="exact"/>
              <w:rPr>
                <w:rFonts w:hint="default" w:ascii="Times New Roman" w:hAnsi="Times New Roman" w:cs="Times New Roman"/>
              </w:rPr>
            </w:pPr>
          </w:p>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51050021T000000061451</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残疾人康复救助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为了体现党领导下的社会主义制度优越性，切实减轻残疾人家庭经济负担，促进全市残疾人康复机构服务水平提升，让残疾人共享社会经济发展成果，增强残疾人获得感、幸福感、安全感。向350名残疾儿童交通生活补助；向实施人工耳蜗手术的残疾儿童少年提供术前筛查检查补助；开展康复定点机构“两化”建设（包括邀请第三方机构对</w:t>
            </w:r>
            <w:r>
              <w:rPr>
                <w:rFonts w:hint="eastAsia" w:cs="Times New Roman"/>
                <w:b w:val="0"/>
                <w:bCs w:val="0"/>
                <w:i w:val="0"/>
                <w:iCs w:val="0"/>
                <w:color w:val="000000"/>
                <w:kern w:val="0"/>
                <w:sz w:val="20"/>
                <w:szCs w:val="20"/>
                <w:u w:val="none"/>
                <w:lang w:val="en-US" w:eastAsia="zh-CN" w:bidi="ar"/>
              </w:rPr>
              <w:t>全市</w:t>
            </w:r>
            <w:r>
              <w:rPr>
                <w:rFonts w:hint="default" w:ascii="Times New Roman" w:hAnsi="Times New Roman" w:eastAsia="宋体" w:cs="Times New Roman"/>
                <w:b w:val="0"/>
                <w:bCs w:val="0"/>
                <w:i w:val="0"/>
                <w:iCs w:val="0"/>
                <w:color w:val="000000"/>
                <w:kern w:val="0"/>
                <w:sz w:val="20"/>
                <w:szCs w:val="20"/>
                <w:u w:val="none"/>
                <w:lang w:val="en-US" w:eastAsia="zh-CN" w:bidi="ar"/>
              </w:rPr>
              <w:t>康复训练定点机构进行监管、服务评估复核监控、新增定点机构或项目评估等）；开展残疾预防宣传。</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　</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已向733人次残疾人儿童少年发放交通生活补助；已向10名实施人工耳蜗手术的残疾儿童少年提供术前筛查检查补助；已邀请第三方机构对全市23家定点康复机构进行评估。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残疾儿童康复对象交通生活补助项目实施严格</w:t>
            </w:r>
            <w:r>
              <w:rPr>
                <w:rFonts w:hint="eastAsia" w:cs="Times New Roman"/>
                <w:b w:val="0"/>
                <w:bCs w:val="0"/>
                <w:i w:val="0"/>
                <w:iCs w:val="0"/>
                <w:color w:val="000000"/>
                <w:kern w:val="0"/>
                <w:sz w:val="20"/>
                <w:szCs w:val="20"/>
                <w:u w:val="none"/>
                <w:lang w:val="en-US" w:eastAsia="zh-CN" w:bidi="ar"/>
              </w:rPr>
              <w:t>按照</w:t>
            </w:r>
            <w:r>
              <w:rPr>
                <w:rFonts w:hint="default" w:ascii="Times New Roman" w:hAnsi="Times New Roman" w:eastAsia="宋体" w:cs="Times New Roman"/>
                <w:b w:val="0"/>
                <w:bCs w:val="0"/>
                <w:i w:val="0"/>
                <w:iCs w:val="0"/>
                <w:color w:val="000000"/>
                <w:kern w:val="0"/>
                <w:sz w:val="20"/>
                <w:szCs w:val="20"/>
                <w:u w:val="none"/>
                <w:lang w:val="en-US" w:eastAsia="zh-CN" w:bidi="ar"/>
              </w:rPr>
              <w:t>《关于实施残疾儿童少年康复对象交通生活费补助的通知》的程序进行，收集申报资料，及时将补贴发放给受助对象并按“量服”要求及时录入“量服”平台，项目审核完成后，市残联通过“一卡通”直接将补助资金发放到</w:t>
            </w:r>
            <w:r>
              <w:rPr>
                <w:rFonts w:hint="eastAsia" w:cs="Times New Roman"/>
                <w:b w:val="0"/>
                <w:bCs w:val="0"/>
                <w:i w:val="0"/>
                <w:iCs w:val="0"/>
                <w:color w:val="000000"/>
                <w:kern w:val="0"/>
                <w:sz w:val="20"/>
                <w:szCs w:val="20"/>
                <w:u w:val="none"/>
                <w:lang w:val="en-US" w:eastAsia="zh-CN" w:bidi="ar"/>
              </w:rPr>
              <w:t>受益对象</w:t>
            </w:r>
            <w:r>
              <w:rPr>
                <w:rFonts w:hint="default" w:ascii="Times New Roman" w:hAnsi="Times New Roman" w:eastAsia="宋体" w:cs="Times New Roman"/>
                <w:b w:val="0"/>
                <w:bCs w:val="0"/>
                <w:i w:val="0"/>
                <w:iCs w:val="0"/>
                <w:color w:val="000000"/>
                <w:kern w:val="0"/>
                <w:sz w:val="20"/>
                <w:szCs w:val="20"/>
                <w:u w:val="none"/>
                <w:lang w:val="en-US" w:eastAsia="zh-CN" w:bidi="ar"/>
              </w:rPr>
              <w:t>，并收集打款成功清单进行了存档；听力残疾儿童人工耳蜗术前医学评估初筛项目的实施先由接受评估的对象在市残联康教科开具介绍信，后在定点手术医院（西南医科大学附属医院）开展医学评估初筛检查，12月底西南医科大学出具全年检查明细和发票，经市残联审核报经党组同意后支付人工耳蜗术前筛查费；残疾儿童康复训练定点机构服务情况绩效评价项目的实施通过公开比选方式请第三方机构对全市23家残疾儿童康复训练定点机构开展了年服务情况绩效评价，督促机构对自身不足进行整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96.64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96.64%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9.66</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96.64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96.64%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监管康复训练机构数量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家</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人工耳蜗术前筛查检查人数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交通生活补助人数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733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宣传对象覆盖数量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康复机构评估覆盖率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关心残疾人和助残扶残社会氛围</w:t>
            </w:r>
            <w:r>
              <w:rPr>
                <w:rFonts w:hint="eastAsia" w:cs="Times New Roman"/>
                <w:b w:val="0"/>
                <w:bCs w:val="0"/>
                <w:i w:val="0"/>
                <w:iCs w:val="0"/>
                <w:color w:val="000000"/>
                <w:kern w:val="0"/>
                <w:sz w:val="20"/>
                <w:szCs w:val="20"/>
                <w:u w:val="none"/>
                <w:lang w:val="en-US" w:eastAsia="zh-CN" w:bidi="ar"/>
              </w:rPr>
              <w:t>（社</w:t>
            </w:r>
            <w:r>
              <w:rPr>
                <w:rFonts w:hint="default" w:ascii="Times New Roman" w:hAnsi="Times New Roman" w:eastAsia="宋体" w:cs="Times New Roman"/>
                <w:b w:val="0"/>
                <w:bCs w:val="0"/>
                <w:i w:val="0"/>
                <w:iCs w:val="0"/>
                <w:color w:val="000000"/>
                <w:kern w:val="0"/>
                <w:sz w:val="20"/>
                <w:szCs w:val="20"/>
                <w:u w:val="none"/>
                <w:lang w:val="en-US" w:eastAsia="zh-CN" w:bidi="ar"/>
              </w:rPr>
              <w:t>会、单位、组织、群众等全部知晓涉残政策，积极主动参与残疾人事业发展）</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残疾人家庭经济支出（减轻残疾人家庭经济负担）</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受助残疾人满意度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交通生活补助康复训练</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交通生活补助康复手术</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人工耳蜗术前筛查检查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3500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3500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99.66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实施残疾人康复救助项目，三区康复对象交通补贴受益残疾儿童少年达733人次，10名聋儿接受人工耳蜗术前筛查，23家定点康复机构接受了绩效评价，家庭医生签约助残项目可行性评估，推动和帮助解决了我市残疾儿童少年康复交通生活和聋儿人工耳蜗术前筛查困难的问题，减轻了残疾人家庭负担，残疾人家庭和社会满意率都达到100%。同时加快了残疾人康复服务规范有序发展，提高了残疾人康复服务水平，提升了残疾人基本公共服务质量，让残疾人共享经济社会发展成果，促进社会和谐，产生了良好的社会效益，让残疾人家庭感受到党和政府的关怀及社会的温暖。项目绩效自评得分99.66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项目负责人：王付君</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51050021Y000000024280-单项定额基本运转支出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已按要求保障单位日常运转，提高预算编制质量，严格执行预算。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年初科学编制预算，预算执行达到序时进度，保障单位日常运转。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5.21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5.21</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5.21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5.21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5.21</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5.21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该项目严格执行预算，保障单位日常运转，项目绩效自评得分100分。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项目负责人：龙奕伶</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51050021Y000000024281</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综合定额基本运转支出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已按要求保障单位日常运转，提高预算编制质量，严格执行预算。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年初科学编制预算，预算执行达到序时进度，保障单位日常运转。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65.00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64.92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99.87%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9.98</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65.00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64.92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99.87%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该项目严格执行预算，保障单位日常运转，项目绩效自评得分100分。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项目负责人：龙奕伶</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rPr>
            </w:pPr>
          </w:p>
          <w:p>
            <w:pPr>
              <w:pStyle w:val="2"/>
              <w:rPr>
                <w:rFonts w:hint="default"/>
              </w:rPr>
            </w:pPr>
          </w:p>
          <w:p>
            <w:pPr>
              <w:rPr>
                <w:rFonts w:hint="default"/>
              </w:rPr>
            </w:pPr>
          </w:p>
          <w:p>
            <w:pPr>
              <w:pStyle w:val="2"/>
              <w:rPr>
                <w:rFonts w:hint="default"/>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51050022R000005120528-年初预算基本支出预留（人员支出）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按照相关要求，对年初预算人员经费不足部分（退休人员一次性补贴）追加，并及时足额发放。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按照相关要求，对年初预算人员经费不足部分追加并发放。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2.36</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2.36</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2024年调整后追加预算2.36万元，实际支出2.36万元，完成预算100%，项目绩效自评得分100分。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项目负责人：龙奕伶</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pStyle w:val="2"/>
              <w:rPr>
                <w:rFonts w:hint="default"/>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51050022R000005174898</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人员支出（抚恤、中人、护理等补助）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按照相关要求，对年初预算人员经费不足部分（公务员奖励）追加，并及时足额发放。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按照相关要求，对年初预算人员经费不足部分追加并发放。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0.30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0.30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2024年调整后追加预算0.3万元，实际支出0.3万元，完成预算100%，项目绩效自评得分100分。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项目负责人：龙奕伶</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Style w:val="2"/>
              <w:rPr>
                <w:rFonts w:hint="default" w:ascii="Times New Roman" w:hAnsi="Times New Roman" w:cs="Times New Roman"/>
                <w:lang w:eastAsia="zh-CN"/>
              </w:rPr>
            </w:pPr>
          </w:p>
        </w:tc>
        <w:tc>
          <w:tcPr>
            <w:tcW w:w="1710" w:type="dxa"/>
            <w:tcBorders>
              <w:top w:val="nil"/>
              <w:left w:val="nil"/>
              <w:bottom w:val="nil"/>
              <w:right w:val="nil"/>
            </w:tcBorders>
            <w:shd w:val="clear" w:color="auto" w:fill="auto"/>
            <w:vAlign w:val="center"/>
          </w:tcPr>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51050022T000006724053</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代管资金（单位往来资金）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省残联和相关单位划拨专项经费，按往来经费要求支付。</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已向6名获奖人员发放奖励金10000元。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为推进成渝地区双城经济圈建设，加强残疾人康复服务协作，促进康复人才交流互动，提升残疾儿童康复服务水平和质量。2024年4月至5月，重庆市残联、四川省残联联合举办了2024年成渝地区双城经济圈残疾儿童康复服务技能大赛。我市共有6名专业技术人员在听力、肢体项目中获一等奖，对加强川渝两地残疾人康复服务协作、促进康复人才交流互动起到积极作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残疾儿童康复服务技能大赛获奖人数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奖励金发放准确率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残疾人康复</w:t>
            </w:r>
            <w:r>
              <w:rPr>
                <w:rFonts w:hint="eastAsia" w:cs="Times New Roman"/>
                <w:b w:val="0"/>
                <w:bCs w:val="0"/>
                <w:i w:val="0"/>
                <w:iCs w:val="0"/>
                <w:color w:val="000000"/>
                <w:kern w:val="0"/>
                <w:sz w:val="20"/>
                <w:szCs w:val="20"/>
                <w:u w:val="none"/>
                <w:lang w:val="en-US" w:eastAsia="zh-CN" w:bidi="ar"/>
              </w:rPr>
              <w:t>服务水平</w:t>
            </w:r>
            <w:r>
              <w:rPr>
                <w:rFonts w:hint="default" w:ascii="Times New Roman" w:hAnsi="Times New Roman" w:eastAsia="宋体" w:cs="Times New Roman"/>
                <w:b w:val="0"/>
                <w:bCs w:val="0"/>
                <w:i w:val="0"/>
                <w:iCs w:val="0"/>
                <w:color w:val="000000"/>
                <w:kern w:val="0"/>
                <w:sz w:val="20"/>
                <w:szCs w:val="20"/>
                <w:u w:val="none"/>
                <w:lang w:val="en-US" w:eastAsia="zh-CN" w:bidi="ar"/>
              </w:rPr>
              <w:t>提升（高：通过参加康复服务技能比赛，进一步提升康复服务水平和质量）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参加技能大赛人员满意度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发放奖励金总金额</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儿童康复技能大赛，为康复专业人员提供了一个展示和交流的平台，不仅提升了康复专业人员的技能水平，也为残疾儿童康复服务的发展提供了有力支持，为推动川渝两地残疾人事业高质量发展提供人才保障，2024年向6名康复技能大赛获奖人员发放奖励金10000元，圆满完成绩效目标，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项目负责人：王付君</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Style w:val="8"/>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51050022T000007235467</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省级残疾人事业发展补助资金（体彩）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目标1：广泛开展残疾人全民健身活动、丰富残疾人基层体育</w:t>
            </w:r>
            <w:r>
              <w:rPr>
                <w:rFonts w:hint="eastAsia" w:cs="Times New Roman"/>
                <w:b w:val="0"/>
                <w:bCs w:val="0"/>
                <w:i w:val="0"/>
                <w:iCs w:val="0"/>
                <w:color w:val="000000"/>
                <w:kern w:val="0"/>
                <w:sz w:val="20"/>
                <w:szCs w:val="20"/>
                <w:u w:val="none"/>
                <w:lang w:val="en-US" w:eastAsia="zh-CN" w:bidi="ar"/>
              </w:rPr>
              <w:t>活动</w:t>
            </w:r>
            <w:r>
              <w:rPr>
                <w:rFonts w:hint="default" w:ascii="Times New Roman" w:hAnsi="Times New Roman" w:eastAsia="宋体" w:cs="Times New Roman"/>
                <w:b w:val="0"/>
                <w:bCs w:val="0"/>
                <w:i w:val="0"/>
                <w:iCs w:val="0"/>
                <w:color w:val="000000"/>
                <w:kern w:val="0"/>
                <w:sz w:val="20"/>
                <w:szCs w:val="20"/>
                <w:u w:val="none"/>
                <w:lang w:val="en-US" w:eastAsia="zh-CN" w:bidi="ar"/>
              </w:rPr>
              <w:t>，推广残疾人群众体育发展，推动残疾人康复健身体育身边化服务；目标2：积极构建“一校一品”“一校多品”的学校体育发展新局面，建立特殊教育学校教学、训练、竞赛体系；目标3：提升我市残疾人体育项目训练水平及队伍建设、不断提高我市残疾人体育竞技水平和在全省残疾人体育工作中的影响力。</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1.开展体育复健进校园市级赛事场次3，参加特校数量7；                                                  2.建立青少年训练基地5个（江阳区特殊教育学校：聋人篮球男；合江县特殊教育学校：聋人篮球女；泸县中宏特殊教育学校：聋人足球女、乒乓球；龙马潭区特殊教育学校：羽毛球；跃动联合体育：跆拳道、田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通过残疾人“体育复健进校园”活动、建立残疾人青少年训练基地项目的实施，丰富了残疾人文体生活，提升了我市残疾人体育水平。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193.50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193.50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2024年4月，省财政厅下达残疾人事业发展省级体彩公益金，分配下达到市残联机关193.5万元。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193.50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193.50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参加“体育复健进校园”赛事特校数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所</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开展“体育复健进校园”项目特校数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所</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青年残疾人运动员训练总量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10500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7214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省残联下达《2024年残疾人参赛训练项目实施方案》，明确规定项目完成</w:t>
            </w:r>
            <w:r>
              <w:rPr>
                <w:rFonts w:hint="eastAsia" w:cs="Times New Roman"/>
                <w:b w:val="0"/>
                <w:bCs w:val="0"/>
                <w:i w:val="0"/>
                <w:iCs w:val="0"/>
                <w:color w:val="000000"/>
                <w:kern w:val="0"/>
                <w:sz w:val="20"/>
                <w:szCs w:val="20"/>
                <w:u w:val="none"/>
                <w:lang w:val="en-US" w:eastAsia="zh-CN" w:bidi="ar"/>
              </w:rPr>
              <w:t>时限</w:t>
            </w:r>
            <w:r>
              <w:rPr>
                <w:rFonts w:hint="default" w:ascii="Times New Roman" w:hAnsi="Times New Roman" w:eastAsia="宋体" w:cs="Times New Roman"/>
                <w:b w:val="0"/>
                <w:bCs w:val="0"/>
                <w:i w:val="0"/>
                <w:iCs w:val="0"/>
                <w:color w:val="000000"/>
                <w:kern w:val="0"/>
                <w:sz w:val="20"/>
                <w:szCs w:val="20"/>
                <w:u w:val="none"/>
                <w:lang w:val="en-US" w:eastAsia="zh-CN" w:bidi="ar"/>
              </w:rPr>
              <w:t>为2025年3月，青年残疾人运动训练项目按进度开展，截至2024年12月完成训练总量7214人次，因此年底未完成10500人次训练总量。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特校在校学生经常性体育锻炼参与率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青年残疾人运动员训练成绩提高率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项目实施时间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残疾青少年康复体育和健身体育广泛开展情况（高：全市特校学生参与康复体育和健身体育活动比例达到80%）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青年运动员梯队建设水平（高：建立规范化残疾人体育训练基地5个，当年开展青年运动员训练总量达到8000人天）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可持续影响指标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残疾青少年及家庭正确健康观和体育锻炼良好习惯（高：全市特校学生及家庭成员对健康知识的认知率达到80%，积极参加体育锻炼参与率达80%）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残疾人体育及残疾人事业社会影响力（高：开展残疾人体育活动及残疾人事业宣传报道数量200次以上，浏览次数达到10000人次）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开展“体育复健进校园”项目特校师生满意率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参加残疾人体育项目集训人员满意率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残疾人青年运动员训练经费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157.5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157.5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“体育复健进校园”项目经费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97</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体育复健进校园市级赛事场次3，参加特校数量7；建立青少年训练基地5个（江阳区特殊教育学校：聋人篮球男；合江县特殊教育学校：聋人篮球女；泸县中宏特殊教育学校：聋人足球女、乒乓球；龙马潭区特殊教育学校：羽毛球；跃动联合体育：跆拳道、田径）。通过开展体育复健进校园活动、残疾人青少年训练项目的实施，丰富了残疾人文体生活，提升了我市残疾人体育水平。项目绩效自评得分97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在项目实施过程中监管不够，相关工作人员对体育竞技分级不够了解，导致在</w:t>
            </w:r>
            <w:r>
              <w:rPr>
                <w:rFonts w:hint="eastAsia" w:cs="Times New Roman"/>
                <w:b w:val="0"/>
                <w:bCs w:val="0"/>
                <w:i w:val="0"/>
                <w:iCs w:val="0"/>
                <w:color w:val="000000"/>
                <w:kern w:val="0"/>
                <w:sz w:val="20"/>
                <w:szCs w:val="20"/>
                <w:u w:val="none"/>
                <w:lang w:val="en-US" w:eastAsia="zh-CN" w:bidi="ar"/>
              </w:rPr>
              <w:t>选拔</w:t>
            </w:r>
            <w:r>
              <w:rPr>
                <w:rFonts w:hint="default" w:ascii="Times New Roman" w:hAnsi="Times New Roman" w:eastAsia="宋体" w:cs="Times New Roman"/>
                <w:b w:val="0"/>
                <w:bCs w:val="0"/>
                <w:i w:val="0"/>
                <w:iCs w:val="0"/>
                <w:color w:val="000000"/>
                <w:kern w:val="0"/>
                <w:sz w:val="20"/>
                <w:szCs w:val="20"/>
                <w:u w:val="none"/>
                <w:lang w:val="en-US" w:eastAsia="zh-CN" w:bidi="ar"/>
              </w:rPr>
              <w:t>运动员的是否存在分级未通过的情况。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加大对项目过程的监督、抽查，聘请第三方机构专业人员对青训经费开展审计；积极对接省残联加强指导，组织学习残疾人体育分级内容。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项目负责人：徐勇</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51050024R000010197607-年初预算人员支出（保工资）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按照相关政策，及时、足额发放职工工资、津贴补贴等，保障职工各项保险及公积金等。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年初科学编制预算，及时、足额发放职工工资、津贴补贴等，缴纳职工各项保险及公积金等，预算执行达到序时进度。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338.76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325.93</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300.06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92.06%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338.76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325.93</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300.06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92.06%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该项目严格执行预算，保障工资及时、足额发放或社保及时、足额缴纳，项目绩效自评得分99.2分。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项目负责人：龙奕伶</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51050024R000010197884-年初预算人员支出（其他）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按照相关政策，年初预算单位人员相关支出（体检费、编外聘用人员经费、退休人员慰问金、退休人员活动费、福利费等），并按照相关要求，及时拨付到位。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年初科学编制预算，及时支付相关补助及经费，预算执行达到序时进度。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45.08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52.21</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47.66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91.29%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9.13</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45.08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52.21</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47.66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91.29%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99.13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该项目严格执行预算，保障工资及时、足额发放或社保及时、足额缴纳，项目绩效自评得分99.13分。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项目负责人：龙奕伶</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51050024T000010507387</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量服及规范化建设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目标1：通过专业化培训，提高各级残疾人工作者服务残疾人的能力和水平；</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目标2：通过开展入户调研和慰问，切实解决残疾人在生产和生活方面遇到的困难，提高全市残疾人幸福指数；</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目标3：通过智慧量服、精准监督、精准管理，使各级各部门实施的涉残政策落地落实，让残疾人得到更多实惠；</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目标4：保障残联系统网站等各类业务平台的正常运行，完成档案数字化管理工作，规范整理案卷归档，保障残疾人服务用车正常运行，保障办公室人财物的正常运行，从而保证为全市残疾人提供优质服务。</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精准入户调研、服务、监督，对422名残疾人开展量服入户慰问，发放慰问资金15.55万元，督促“量服”康复、教就、维权、组联、宣文等的资金落地；组织开展4期“量服讲堂”，召开“一体两翼”量服工作现场会、量服工作会等，了解区县各阶段工作开展情况，安排部署各项工作任务，进一步促进我市残疾人事业发展；保障市残联门户网站、微信公众号等信息平台的正常运行，保障1辆特种专业技术用车正常运行，为全市残疾人提供“量体裁衣”式个性化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精准入户调研、服务、监督，原则按照400元/户对残疾人开展量服入户慰问，督促“量服”康复、教就、维权、组联、宣文等的资金落地；组织开展“量服讲堂”，提高各级残疾人工作者服务残疾人的能力和水平；召开量服工作会议、全市“一体两翼”现场会等，了解区县各阶段工作开展情况，安排部署各项工作任务，推动全市残联系统各项工作任务落实；保障市残联门户网站、微信公众号等信息平台的正常运行、特种专业技术用车正常运行，为全市残疾人提供“量体裁衣”式个性化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69.08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98.69%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9.87</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69.08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98.69%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量服精准监督和管理残疾人人数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160000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160000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培训残疾人工作者人数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380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量服入户慰问人次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422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量服培训合格率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档案归档规范率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网站正常使用率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12月</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关心、理解、支持残疾人的社会氛围（常态化开展量服精准监督、入户调研、慰问等，广泛宣传涉残各项政策，持续为残疾人办实事）</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提升档案管理水平 （规范管理档案，实现纸质化、电子化档案同步收集、整理、管理）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可持续发展指标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残疾人事业与经济社会协调发展（残疾人基本生活水平明显提高，社会保障得到夯实，残疾人平等参与的环境更加友好）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受训人员满意度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慰问对象满意度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培训综合定额标准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特种设备用车（辅具车）年定额标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99.87</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通过开展量服入户调研、慰问、监督，督促“量服”康复、教就、维权、组联、宣文等涉残资金落地，切实解决了困难残疾人的困难，维护残疾人的合法权利；开展“量服讲堂”、量服劳动竞赛，进一步提升了各级残疾人工作者服务能力和水平，保障市残联门户网站、微信公众号、特种专业技术用车正常运行。2024年项目实施较好，项目绩效自评得分99.87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量服培训范围较窄，对区县残疾人工作者开展培训较少，培训实效性有待进一步提升。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进一步征求业务科室、区县残联意见，开展形式多样的量服培训，提升培训实效。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项目负责人：贺成贵</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51050024T000010507414</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驻村工作经费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保障单位1名驻泸县福集镇螺丝山村工作人员驻村期间正常开展工作，协助各级政府带领全村村民实现共同富裕。</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通过项目的实施，保障了我会1名驻村干部在帮扶村工作期间产生的往返交通费、伙食费和公杂费补助、乡镇工作补贴等支出，全面完成了政府下达的帮扶任务。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该项目主要用于保障单位驻泸县福集镇螺丝山村工作人员驻村期间正常开展工作所产生的差旅费、伙食费、公杂费、乡镇工作补贴等支出，通过派驻队员开展驻村工作，协助螺丝山村“两委”带领全村村民实现共同富裕，帮助当地群众办实事解决实际困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派驻驻村干部人数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驻村人员出勤率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12月</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村容村貌，群众生活水平（村容村貌环境干净整洁，群众生活水平明显提升）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可持续影响指标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提高村级治理能力（建强村级党组织、推进强村富民、为民办事等方面显著提高）</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提升村民满意度、幸福感（通过驻村工作，村民对村上工作表示认可，满意度、幸福感明显提升）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驻村工作经费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2.5万元</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按照《关于印发四川省驻村第一书记和工作队管理办法的通知》《关于印发泸州市驻村第一书记管理暂行办法的通知》（泸组通〔2015〕57号）文件精神，根据驻村工作队员经费管理规定，严格按照标准进行报销。通过项目实施，有效保障了我会1名驻村干部在帮扶村工作期间产生的往返交通费、伙食费和公杂费等支出，全面完成了政府下达的帮扶任务，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项目负责人：孙顺</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51050024T000010507448</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残疾人组织、维权及宣文体经费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目标1：开展丰富多样的活动，为各类别残疾人专门协会举办各类活动提供资金支持，开展残疾人评定培训工作；                                                                                                                                                                                       目标2：开展温暖万家行活动，切实保障全市困难残疾人和优秀残疾人安全温暖过冬，进一步完善多层次的社会教助体系，从生活、医疗、法律等方面解决困难残疾群众临时性、突发性、紧迫性生活困难。依法治市（法律顾问、法律救助站、执法检查）和无障碍监督队活动。                                                                                                                                          目标3：组织残疾人文化艺术等活动满足残疾人的精神文化需求，采取与媒体合作等多种方式开展残疾人事业宣传，开展励志报告团的宣讲；                                                                                                                                                             目标4：组织参加四川省单项残疾人运动会 ，开展残疾人体育活动，发现、培养和输送具有良好思想品德、文化素养的高水平体育后备人才，稳固我市体育竞技成绩，促进我市竞技体育全面、协调、健康、可持续发展。</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1.残疾人组织工作：组织专门协会和助残社会开展具有感召性的活动14场次，丰富残疾人文化生活，成功举办1场全市残疾评定业务能力提升培训会，有效提高全市残疾评定质量和水平。                                                                              </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2.残疾人维权工作：投入资金60万元开展“温暖万家行”，走访慰问1245名困难、优秀残疾人，向148名残疾人发放79.65万元紧急救助金。举办无障碍环境建设督导员培训，开展无障碍环境建设监督活动2次。                                                                            3.残疾人宣传工作：2024年与5家媒体进行合作，宣传报道共384篇，国家级媒体9篇，省级79篇，市级261篇，社会媒体35篇。邀请四川残疾人艺术团到泸县兆雅镇开展《礼赞生命 一起向未来》主题演出，演出共16个节目，参观人数达到2800人，整个演出活动组织有序，安全顺利，获得了观众的一致好评，取得圆满成功；                                                                                                                                            4.残疾人体育工作：举办“泸永江”第一届残疾人运动会，参加四川省单项残疾人锦标赛。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通过与媒体合作，加大了残疾人事业的宣传力度，提升了社会对残疾人群体的关注；成功举办残疾人运动会、参加省残疾人单项锦标赛，建立了稳定的本地残疾人体育人才发掘与输送机制，提升了本地组织残疾人体育赛事的水平。我会印发了《泸州市残疾人联合会</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泸州市2024年度“温暖万家行”走访慰问活动方案</w:t>
            </w:r>
            <w:r>
              <w:rPr>
                <w:rFonts w:hint="eastAsia" w:cs="Times New Roman"/>
                <w:b w:val="0"/>
                <w:bCs w:val="0"/>
                <w:i w:val="0"/>
                <w:iCs w:val="0"/>
                <w:color w:val="000000"/>
                <w:kern w:val="0"/>
                <w:sz w:val="20"/>
                <w:szCs w:val="20"/>
                <w:u w:val="none"/>
                <w:lang w:val="en-US" w:eastAsia="zh-CN" w:bidi="ar"/>
              </w:rPr>
              <w:t>〉的通知》</w:t>
            </w:r>
            <w:r>
              <w:rPr>
                <w:rFonts w:hint="default" w:ascii="Times New Roman" w:hAnsi="Times New Roman" w:eastAsia="宋体" w:cs="Times New Roman"/>
                <w:b w:val="0"/>
                <w:bCs w:val="0"/>
                <w:i w:val="0"/>
                <w:iCs w:val="0"/>
                <w:color w:val="000000"/>
                <w:kern w:val="0"/>
                <w:sz w:val="20"/>
                <w:szCs w:val="20"/>
                <w:u w:val="none"/>
                <w:lang w:val="en-US" w:eastAsia="zh-CN" w:bidi="ar"/>
              </w:rPr>
              <w:t>（泸市残〔2024〕5号），投入资金60万元开展“温暖万家行”，走访慰问1245名困难、优秀残疾人；为148名残疾人发放79.65万元紧急救助金，帮助残疾人在遭遇生活困境、重特大疾病等紧急情况下克服困难，渡过难关</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举办了无障碍环境建设督导员培训，开展无障碍环境建设监督活动2次。通过各类别残疾人节日和重大节日，组织专门协会和助残社会开展具有感召性的活动14场次，丰富了残疾人文化生活，让残疾人充分享受社会文明成果以及让残疾人与残联紧密连接，团结带领各类别残疾人听党话、跟党走。成功开展全市残疾人评定培训会，有效提高全市残疾评定质量和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435.00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504.99</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504.40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99.88%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因需向巴黎残奥会突出贡献人员发放奖励，年中依规追加170万元，同时我会本着厉行节约、节俭办会原则，省第三届残疾人文化艺术节支出规模控制得当，残疾人体育活动场次缩减，年末财政收回70余万元，部门预算内调整项目29.2万元用于“圆梦助学工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435.00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504.99</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504.40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99.88%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签约新闻媒体数量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家</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紧急救助人数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148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运动会参赛项目</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个</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专门协会、社会助残组织活动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法治检查或无障碍监督活动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开展艺术团演出场数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媒体新闻宣传次数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384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慰问人数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1245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开展残疾人体育活动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开展残疾评定机构培训次数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专门协会活动参与率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残疾人运动员通过训练后参赛率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救助、慰问金发放到位率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媒体宣传次数完成率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泸州残疾人体育竞技水平（培养残疾人运动员队伍，提升残疾人的运动水平，残疾人身体素质不断提高，残疾人体育赛事</w:t>
            </w:r>
            <w:r>
              <w:rPr>
                <w:rFonts w:hint="eastAsia" w:cs="Times New Roman"/>
                <w:b w:val="0"/>
                <w:bCs w:val="0"/>
                <w:i w:val="0"/>
                <w:iCs w:val="0"/>
                <w:color w:val="000000"/>
                <w:kern w:val="0"/>
                <w:sz w:val="20"/>
                <w:szCs w:val="20"/>
                <w:u w:val="none"/>
                <w:lang w:val="en-US" w:eastAsia="zh-CN" w:bidi="ar"/>
              </w:rPr>
              <w:t>氛围</w:t>
            </w:r>
            <w:r>
              <w:rPr>
                <w:rFonts w:hint="default" w:ascii="Times New Roman" w:hAnsi="Times New Roman" w:eastAsia="宋体" w:cs="Times New Roman"/>
                <w:b w:val="0"/>
                <w:bCs w:val="0"/>
                <w:i w:val="0"/>
                <w:iCs w:val="0"/>
                <w:color w:val="000000"/>
                <w:kern w:val="0"/>
                <w:sz w:val="20"/>
                <w:szCs w:val="20"/>
                <w:u w:val="none"/>
                <w:lang w:val="en-US" w:eastAsia="zh-CN" w:bidi="ar"/>
              </w:rPr>
              <w:t>不断浓厚，赛事影响力不断扩大）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残疾人事业与经济社会协调发展（残疾人基本生活水平得到明显改善，健康状况得到改善，社会保障得到夯实，残疾人平等参与的环境更加友好。）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提升残疾人享有公共文化服务（常态化开展各类活动，丰富残疾人精神文化生活，残疾人公共文化服务质量显著提升）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残疾人运动员的身体素质（对残疾人运动员采取个性化的专项训练，配备专业指导教练，残疾人运动员身体素质不断增强，竞技水平不断提升）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残疾人事业与经济社会协调发展（通过新闻宣传、社会宣传、网络宣传、文艺宣传等多种途径营造社会助残扶残良好氛围。）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关心、理解、支持残疾人的社会氛围（常态化开展宣传工作，在重要时间节点开展宣传，营造良好氛围。）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残疾人家庭经济支出（有效减轻残疾人家庭支出经济负担，保障残疾人基本生活需求。）</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可持续影响指标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推动残疾人事业发展（积极发挥协会桥梁纽带作用，积极解决残疾人需求，有序推进各项工作）</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建立残联与残疾人的桥梁（经常性开展活动，深入了解残疾群众思想、生活状况，各协会建立残联与残疾人桥梁作用显著提升）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提高全市残疾评定质量，规范全市残疾评定工作（通过对全市残疾证评定机构培训，统一评残标准，更加客观公正、合理评残）</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受益残疾人满意度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观众对四川残疾人艺术团表演满意度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残疾人运动员满意率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参与者满意度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专协会人员误工补助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志愿者交通、餐饮补助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评残培训会务资料、住宿、餐饮等支出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专门协会主席、副主席交通补助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元旦春节慰问标准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元/户</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≤1000元/户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省艺术团演出每个节目收费标准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元/个</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开展依法治市及无障碍活动经费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≤50000元/年</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救助标准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≤20000元/人年</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99.99</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宣传：我会全面加大残疾人事业宣传力度，与5家主流媒体建立常态化合作机制，全年累计发布残疾人相关报道384篇，其中国家级媒体9篇、省级79篇、市级261篇、社会媒体35篇，显著扩大宣传覆盖面。5月13日，邀请四川残疾人艺术团在古蔺县实验中学举办《礼赞生命·一起向未来》主题公益演出，16个精品节目吸引观众3000余人，残疾人精神文化生活更加丰富，社会关注度持续提升，残疾人公共文化服务质量实现新突破。残疾人体育：成功承办“泸永江”第一届残疾人运动会，组队参加四川省单项残疾人锦标赛，健全本地残疾人体育人才发现、培养与输送机制，赛事组织能力显著增强。残疾人维权：投入60万元实施“温暖万家行”项目，走访慰问困难及优秀残疾人1245人；向148名残疾人发放紧急救助金79.65万元，有效缓解其因突发重疾或重大变故导致的生活困难。同步举办无障碍环境建设督导员培训班，并开展专项监督行动2次，进一步推进残疾人无障碍环境建设。残疾人组织工作：指导各专门协会开展各项活动，进一步丰富残疾人文化生活，强化思想政治引领，团结带领广大残疾人听党话、跟党走，残疾人参与率和社会满意度稳步提升。成功举办全市残疾评定业务能力提升培训，评定质量与规范化水平明显提高。项目绩效自评得分99.99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宣传形式单一，内容不够丰富，未全面体现残疾人事业的特色亮点。由于资金不足，只能解决部分残疾人的需求，离广大残疾人的期盼还有一定的距离。残疾人行动不方便，开展活动规模和方式有限。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召开媒体见面会，收集科室及下属事业单位的宣传亮点，与合作媒体沟通交流。建议提标扩面让残疾人得到更多的救助。丰富和优化活动模式，尽可能</w:t>
            </w:r>
            <w:r>
              <w:rPr>
                <w:rFonts w:hint="eastAsia" w:cs="Times New Roman"/>
                <w:b w:val="0"/>
                <w:bCs w:val="0"/>
                <w:i w:val="0"/>
                <w:iCs w:val="0"/>
                <w:color w:val="000000"/>
                <w:kern w:val="0"/>
                <w:sz w:val="20"/>
                <w:szCs w:val="20"/>
                <w:u w:val="none"/>
                <w:lang w:val="en-US" w:eastAsia="zh-CN" w:bidi="ar"/>
              </w:rPr>
              <w:t>地</w:t>
            </w:r>
            <w:r>
              <w:rPr>
                <w:rFonts w:hint="default" w:ascii="Times New Roman" w:hAnsi="Times New Roman" w:eastAsia="宋体" w:cs="Times New Roman"/>
                <w:b w:val="0"/>
                <w:bCs w:val="0"/>
                <w:i w:val="0"/>
                <w:iCs w:val="0"/>
                <w:color w:val="000000"/>
                <w:kern w:val="0"/>
                <w:sz w:val="20"/>
                <w:szCs w:val="20"/>
                <w:u w:val="none"/>
                <w:lang w:val="en-US" w:eastAsia="zh-CN" w:bidi="ar"/>
              </w:rPr>
              <w:t>满足残疾人需求，活跃残疾人融入社会。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项目负责人：徐勇</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pStyle w:val="8"/>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51050024T000011871656</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市级部门教育培训经费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通过组织开办“量体裁衣”式残疾人服务培训班，对市、县（区）残工委成员单位分管领导及残疾人工作者等开展教育培训，进一步提升参训人员服务能力和水平，推进全市“量体裁衣”式残疾人公共服务现代化建设。</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根据干部培训方案，组织市政府残工委成员单位、市级有关部门分管领导或残疾人工作具体负责人，各区县人民政府联系残疾人工作领导或区县党委分管群团工作领导，区县残联工作人员，市残联机关及下属事业单位部分干部51人到浙江大学开展了“量体裁衣”式残疾人公共服务现代化专题培训班。培训采用“理论+实地”形式，通过课堂教学、案例分享、点位参观等方式，进一步提升参训人员的工作能力和理论水平，对推动全市残疾人工作提供良好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年初制定干部培训方案并呈报市委组织部备案，并严格依据方案编制课程体系、发布培训通知，有序组织相关干部参训；培训期间强化纪律管理，确保培训质效。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参加培训人数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举办培训班班次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培训考勤签到率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专题培训课程设置适配度（设置课程与残疾人事业发展相关，适配度高）</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5月</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开展培训天数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天</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5天</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可持续发展指标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促进残疾人事业发展（对残疾人事业发展认识提升，履职能力增强）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参训人员满意率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培训总费用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15万元</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我会组织市政府残工委成员单位、市级有关部门分管领导或残疾人工作具体负责人，各区县人民政府联系残疾人工作领导或区县党委分管群团工作领导，区县残联工作人员，市残联机关及下属事业单位部分干部51人到浙江大学开展了“量体裁衣”式残疾人公共服务现代化专题培训班。培训质效好，进一步提升参训人员的工作能力和理论水平，对推动全市残疾人工作提供良好保障，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项目负责人：孙顺</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lang w:eastAsia="zh-CN"/>
              </w:rPr>
            </w:pPr>
          </w:p>
          <w:p>
            <w:pPr>
              <w:rPr>
                <w:rFonts w:hint="default" w:ascii="Times New Roman" w:hAnsi="Times New Roman" w:cs="Times New Roman"/>
                <w:lang w:eastAsia="zh-CN"/>
              </w:rPr>
            </w:pPr>
          </w:p>
          <w:p>
            <w:pPr>
              <w:pStyle w:val="8"/>
              <w:rPr>
                <w:rFonts w:hint="default" w:ascii="Times New Roman" w:hAnsi="Times New Roman" w:cs="Times New Roman"/>
                <w:lang w:eastAsia="zh-C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51050024Y000010205458</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其他运转缺口补助经费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按照相关政策，按时足额核发未休年休假工资，切实维护职工合法权益。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年初科学编制预算，及时发放年休未休补助，预算执行达到序时进度。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按照相关政策，按时足额核发未休年休假工资，切实维护职工合法权益，项目绩效自评得分100分。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项目负责人：龙奕伶</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40" w:type="dxa"/>
            <w:tcBorders>
              <w:top w:val="nil"/>
              <w:left w:val="nil"/>
              <w:bottom w:val="nil"/>
              <w:right w:val="nil"/>
            </w:tcBorders>
            <w:shd w:val="clear" w:color="auto" w:fill="auto"/>
            <w:vAlign w:val="center"/>
          </w:tcPr>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51050025T000012170634</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泸州市第八届残疾人运动会经费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通过组织开展泸州市第八届残疾人运动会，全面展示我市残疾人体育事业发展成就，提高我市残疾人竞技体育水平，选拔和培养优秀残疾人体育后备人才，实现残疾人共享全民健身发展成果，推动我市残疾人体育事业全面发展。</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第八届残疾人运动会于9月23日至11月3日在龙马潭区学府路学校、江阳职高、市体育生态园举行，比赛共分旱地冰壶、羽毛球、乒乓球、跆拳道、游泳、聋人篮球、田径7个大项，172个小项、2个集体项目，产生金牌248枚、银牌158枚、铜牌64枚（总计470枚奖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第八届残疾人运动会通过前期制定实施方案、竞赛规程、分级等工作，组织各区县运动员参赛。于9月23日至11月3日在龙马潭区学府路学校、江阳职高、市体育生态园举行，比赛共分旱地冰壶、羽毛球、乒乓球、跆拳道、游泳、聋人篮球、田径7个大项，172个小项、2个集体项目，产生金牌248枚、银牌158枚、铜牌64枚（总计470枚奖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78.23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97.78%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9.78</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78.23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97.78%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运动员人数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366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比赛天数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天</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运动员参赛率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泸州残疾人体育竞技水平（提升残疾人的运动水平，残疾人体育赛事</w:t>
            </w:r>
            <w:r>
              <w:rPr>
                <w:rFonts w:hint="eastAsia" w:cs="Times New Roman"/>
                <w:b w:val="0"/>
                <w:bCs w:val="0"/>
                <w:i w:val="0"/>
                <w:iCs w:val="0"/>
                <w:color w:val="000000"/>
                <w:kern w:val="0"/>
                <w:sz w:val="20"/>
                <w:szCs w:val="20"/>
                <w:u w:val="none"/>
                <w:lang w:val="en-US" w:eastAsia="zh-CN" w:bidi="ar"/>
              </w:rPr>
              <w:t>氛围</w:t>
            </w:r>
            <w:r>
              <w:rPr>
                <w:rFonts w:hint="default" w:ascii="Times New Roman" w:hAnsi="Times New Roman" w:eastAsia="宋体" w:cs="Times New Roman"/>
                <w:b w:val="0"/>
                <w:bCs w:val="0"/>
                <w:i w:val="0"/>
                <w:iCs w:val="0"/>
                <w:color w:val="000000"/>
                <w:kern w:val="0"/>
                <w:sz w:val="20"/>
                <w:szCs w:val="20"/>
                <w:u w:val="none"/>
                <w:lang w:val="en-US" w:eastAsia="zh-CN" w:bidi="ar"/>
              </w:rPr>
              <w:t>不断浓厚，赛事影响力不断扩大）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可持续影响指标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提升泸州市残疾人运动员参赛能力（选拔优秀的残疾人运动员，为备战下一届全国、省级残运会暨残奥会及各级赛</w:t>
            </w:r>
            <w:r>
              <w:rPr>
                <w:rFonts w:hint="eastAsia" w:cs="Times New Roman"/>
                <w:b w:val="0"/>
                <w:bCs w:val="0"/>
                <w:i w:val="0"/>
                <w:iCs w:val="0"/>
                <w:color w:val="000000"/>
                <w:kern w:val="0"/>
                <w:sz w:val="20"/>
                <w:szCs w:val="20"/>
                <w:u w:val="none"/>
                <w:lang w:val="en-US" w:eastAsia="zh-CN" w:bidi="ar"/>
              </w:rPr>
              <w:t>事打</w:t>
            </w:r>
            <w:r>
              <w:rPr>
                <w:rFonts w:hint="default" w:ascii="Times New Roman" w:hAnsi="Times New Roman" w:eastAsia="宋体" w:cs="Times New Roman"/>
                <w:b w:val="0"/>
                <w:bCs w:val="0"/>
                <w:i w:val="0"/>
                <w:iCs w:val="0"/>
                <w:color w:val="000000"/>
                <w:kern w:val="0"/>
                <w:sz w:val="20"/>
                <w:szCs w:val="20"/>
                <w:u w:val="none"/>
                <w:lang w:val="en-US" w:eastAsia="zh-CN" w:bidi="ar"/>
              </w:rPr>
              <w:t>下基础）</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残疾人运动员满意度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举办运动会经费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78.23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99.78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第八届残疾人运动会于9月23日至11月3日在龙马潭区学府路学校、江阳职高、市体育生态园举行，比赛共分旱地冰壶、羽毛球、乒乓球、跆拳道、游泳、聋人篮球、田径7个大项，172个小项、2个集体项目，产生金牌248枚、银牌158枚、铜牌64枚（总计470枚奖牌）。本届运动会的成功举办，全面检验了我市残疾人体育发展水平，发现了一批优秀残疾人体育人才。项目绩效自评得分 99.78分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体育发展不平衡，从金牌和奖牌分布上可以看出，我市部分区县的群众性体育运动开展少，没有常态化安排体育方面的经费，没有储备体育后备人才，部分项目组不起队（原因主要依靠特校，特校有人就组队，特校没有就不组队，因为对社会队员不了解，或者不动员参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各区县要常态化开展好全民健身活动、残疾人体育健身示范点建设、体育复健进校园等项目，及时发现苗子，动态建立残疾人运动员库，以省残疾人运动训练项目、体育复健进校园项目等为抓手，科学化、规范化开展训练，不断提升竞技水平，随时准备向省队、国家队输送人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项目负责人：徐勇</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51050021T000000108713</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残疾人就业创业扶持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扶持73名残疾人开展自主创业或现代农业，助力其树立自立自强的信念；  补助2家残疾人就业</w:t>
            </w:r>
            <w:r>
              <w:rPr>
                <w:rFonts w:hint="eastAsia" w:cs="Times New Roman"/>
                <w:b w:val="0"/>
                <w:bCs w:val="0"/>
                <w:i w:val="0"/>
                <w:iCs w:val="0"/>
                <w:color w:val="000000"/>
                <w:kern w:val="0"/>
                <w:sz w:val="20"/>
                <w:szCs w:val="20"/>
                <w:u w:val="none"/>
                <w:lang w:val="en-US" w:eastAsia="zh-CN" w:bidi="ar"/>
              </w:rPr>
              <w:t>扶贫</w:t>
            </w:r>
            <w:r>
              <w:rPr>
                <w:rFonts w:hint="default" w:ascii="Times New Roman" w:hAnsi="Times New Roman" w:eastAsia="宋体" w:cs="Times New Roman"/>
                <w:b w:val="0"/>
                <w:bCs w:val="0"/>
                <w:i w:val="0"/>
                <w:iCs w:val="0"/>
                <w:color w:val="000000"/>
                <w:kern w:val="0"/>
                <w:sz w:val="20"/>
                <w:szCs w:val="20"/>
                <w:u w:val="none"/>
                <w:lang w:val="en-US" w:eastAsia="zh-CN" w:bidi="ar"/>
              </w:rPr>
              <w:t>基地，增强基地对残疾人就业的辐射带动作用 ；补贴15家超额安置残疾人的企业，有效提高企业吸纳残疾人的积极性；为6名残疾人提供技能提升补助，鼓励其提升职业技能水平；补助5家辅助性就业机构，保障智力、精神、重度肢体残疾人享有公平就业机会；对51人高校毕业生发放求职补助，让他们切实感受政府的关怀 ；对1家残疾人创办的企业给予补助，支持其稳定发展。</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实施的残疾人就业创业扶持项目成效显著，扶持自主创业及现代农业残疾人个人90人；补贴14家超额安置残疾人就业的企业；补助1家残疾人创办的企业；这243名残疾人高校毕业生发放一次性求职补助；支持5家残疾人帮扶基地及9家辅助性就业机构，全年累计发放扶持资金284.13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本项目严格依照《泸州市残疾人就业创业扶持办法》</w:t>
            </w:r>
            <w:r>
              <w:rPr>
                <w:rFonts w:hint="eastAsia" w:cs="Times New Roman"/>
                <w:b w:val="0"/>
                <w:bCs w:val="0"/>
                <w:i w:val="0"/>
                <w:iCs w:val="0"/>
                <w:color w:val="000000"/>
                <w:kern w:val="0"/>
                <w:sz w:val="20"/>
                <w:szCs w:val="20"/>
                <w:u w:val="none"/>
                <w:lang w:val="en-US" w:eastAsia="zh-CN" w:bidi="ar"/>
              </w:rPr>
              <w:t>实施</w:t>
            </w:r>
            <w:r>
              <w:rPr>
                <w:rFonts w:hint="default" w:ascii="Times New Roman" w:hAnsi="Times New Roman" w:eastAsia="宋体" w:cs="Times New Roman"/>
                <w:b w:val="0"/>
                <w:bCs w:val="0"/>
                <w:i w:val="0"/>
                <w:iCs w:val="0"/>
                <w:color w:val="000000"/>
                <w:kern w:val="0"/>
                <w:sz w:val="20"/>
                <w:szCs w:val="20"/>
                <w:u w:val="none"/>
                <w:lang w:val="en-US" w:eastAsia="zh-CN" w:bidi="ar"/>
              </w:rPr>
              <w:t>。1、扶持范围与标准：对户籍在本市、持第二代《中华人民共和国残疾人证》、处于就业年龄段内且在本市开展自主创业或从事现代农业的残疾人给予3000元-15000元的扶持资金；对</w:t>
            </w:r>
            <w:r>
              <w:rPr>
                <w:rFonts w:hint="eastAsia" w:cs="Times New Roman"/>
                <w:b w:val="0"/>
                <w:bCs w:val="0"/>
                <w:i w:val="0"/>
                <w:iCs w:val="0"/>
                <w:color w:val="000000"/>
                <w:kern w:val="0"/>
                <w:sz w:val="20"/>
                <w:szCs w:val="20"/>
                <w:u w:val="none"/>
                <w:lang w:val="en-US" w:eastAsia="zh-CN" w:bidi="ar"/>
              </w:rPr>
              <w:t>需要</w:t>
            </w:r>
            <w:r>
              <w:rPr>
                <w:rFonts w:hint="default" w:ascii="Times New Roman" w:hAnsi="Times New Roman" w:eastAsia="宋体" w:cs="Times New Roman"/>
                <w:b w:val="0"/>
                <w:bCs w:val="0"/>
                <w:i w:val="0"/>
                <w:iCs w:val="0"/>
                <w:color w:val="000000"/>
                <w:kern w:val="0"/>
                <w:sz w:val="20"/>
                <w:szCs w:val="20"/>
                <w:u w:val="none"/>
                <w:lang w:val="en-US" w:eastAsia="zh-CN" w:bidi="ar"/>
              </w:rPr>
              <w:t>技能提升的残疾人，补助金额不超过5000元；对超额安置残疾人企业、农村残疾人就业帮扶基地、残疾人辅助性就业机构，按规定进行补助。2、实施流程：按“个人申报→乡镇残联初审→区县残联复审→市残联审定”的程序逐步审核，符合条件对象在《泸州市残联网站》公示7日，公示无异议后，由市残联和市财政局按程序拨付资金，最终通过全市“惠民惠农一卡通”平台精准发放到残疾人手中。3、保障机制：专门成立由分管领导牵头、科室负责人、具体责任人及相关成员组</w:t>
            </w:r>
            <w:r>
              <w:rPr>
                <w:rFonts w:hint="eastAsia" w:cs="Times New Roman"/>
                <w:b w:val="0"/>
                <w:bCs w:val="0"/>
                <w:i w:val="0"/>
                <w:iCs w:val="0"/>
                <w:color w:val="000000"/>
                <w:kern w:val="0"/>
                <w:sz w:val="20"/>
                <w:szCs w:val="20"/>
                <w:u w:val="none"/>
                <w:lang w:val="en-US" w:eastAsia="zh-CN" w:bidi="ar"/>
              </w:rPr>
              <w:t>成的</w:t>
            </w:r>
            <w:r>
              <w:rPr>
                <w:rFonts w:hint="default" w:ascii="Times New Roman" w:hAnsi="Times New Roman" w:eastAsia="宋体" w:cs="Times New Roman"/>
                <w:b w:val="0"/>
                <w:bCs w:val="0"/>
                <w:i w:val="0"/>
                <w:iCs w:val="0"/>
                <w:color w:val="000000"/>
                <w:kern w:val="0"/>
                <w:sz w:val="20"/>
                <w:szCs w:val="20"/>
                <w:u w:val="none"/>
                <w:lang w:val="en-US" w:eastAsia="zh-CN" w:bidi="ar"/>
              </w:rPr>
              <w:t>项目责任小组，明确分工、压实责任，为项目顺利推进提供坚实保障。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284.13</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284.13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因该项目政策调整增加了补助项目，调增预算34.13万元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284.13</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284.13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nil"/>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nil"/>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超额安置残疾人企业补助</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327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残疾人自主创业和现代农业项目补助</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户</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残疾人就业扶贫基地补助</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残疾人技能提升补助人数</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无人申领该项补助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辅助性就业机构补贴</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106.25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残疾人创办企业社保补贴</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高校毕业生就业补助人数</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243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市级抽查当年申报户数完成率</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区县实地查看就业创业户完成率</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区县收集资料和实地查看完成时间</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促进残疾人均发展增收</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残疾人创业的信心</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增强残疾人创业的信心</w:t>
            </w:r>
            <w:r>
              <w:rPr>
                <w:rFonts w:hint="eastAsia" w:cs="Times New Roman"/>
                <w:b w:val="0"/>
                <w:bCs w:val="0"/>
                <w:i w:val="0"/>
                <w:iCs w:val="0"/>
                <w:color w:val="000000"/>
                <w:kern w:val="0"/>
                <w:sz w:val="20"/>
                <w:szCs w:val="20"/>
                <w:u w:val="none"/>
                <w:lang w:val="en-US" w:eastAsia="zh-CN" w:bidi="ar"/>
              </w:rPr>
              <w:t>）</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残疾人满意度</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安置残疾人机构满意度</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残疾人技能提升补助</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元/户</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高校毕业生就业补助</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超额安置残疾人企业补助</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辅助性就业机构补贴</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4800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残疾人创办企业社保补贴</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残疾人就业扶贫基地补助</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自主创业和现代农业补助</w:t>
            </w:r>
          </w:p>
        </w:tc>
        <w:tc>
          <w:tcPr>
            <w:tcW w:w="6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元/户</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的实施既符合相关法律法规，又符合全市残疾群众期盼，多渠道、多形式促进残疾人就业创业，提升残疾人职业素质和就业创业能力等，使其平等充分全面参与社会、实现自身权利和人生价值，和全市人民一道共建共享更加幸福美好的生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1.</w:t>
            </w:r>
            <w:r>
              <w:rPr>
                <w:rFonts w:hint="default" w:ascii="Times New Roman" w:hAnsi="Times New Roman" w:eastAsia="宋体" w:cs="Times New Roman"/>
                <w:b w:val="0"/>
                <w:bCs w:val="0"/>
                <w:i w:val="0"/>
                <w:iCs w:val="0"/>
                <w:color w:val="000000"/>
                <w:kern w:val="0"/>
                <w:sz w:val="20"/>
                <w:szCs w:val="20"/>
                <w:u w:val="none"/>
                <w:lang w:val="en-US" w:eastAsia="zh-CN" w:bidi="ar"/>
              </w:rPr>
              <w:t>资金供需存在缺口：残疾人扶持需求较大，当前财政资金存在约100万的缺口。主要原因是新修订后的文件新增三个项目，均为落实泸州市“十四五”残疾人保障和发展规划的具体指标项目，导致需求资金超出预算下达额度。2、审核评估规范性不足：在自主创业和现代农业领域，对残疾人投入成本的评估存在自由裁量不够规范的问题。部分评估缺乏</w:t>
            </w:r>
            <w:r>
              <w:rPr>
                <w:rFonts w:hint="eastAsia" w:cs="Times New Roman"/>
                <w:b w:val="0"/>
                <w:bCs w:val="0"/>
                <w:i w:val="0"/>
                <w:iCs w:val="0"/>
                <w:color w:val="000000"/>
                <w:kern w:val="0"/>
                <w:sz w:val="20"/>
                <w:szCs w:val="20"/>
                <w:u w:val="none"/>
                <w:lang w:val="en-US" w:eastAsia="zh-CN" w:bidi="ar"/>
              </w:rPr>
              <w:t>充分</w:t>
            </w:r>
            <w:r>
              <w:rPr>
                <w:rFonts w:hint="default" w:ascii="Times New Roman" w:hAnsi="Times New Roman" w:eastAsia="宋体" w:cs="Times New Roman"/>
                <w:b w:val="0"/>
                <w:bCs w:val="0"/>
                <w:i w:val="0"/>
                <w:iCs w:val="0"/>
                <w:color w:val="000000"/>
                <w:kern w:val="0"/>
                <w:sz w:val="20"/>
                <w:szCs w:val="20"/>
                <w:u w:val="none"/>
                <w:lang w:val="en-US" w:eastAsia="zh-CN" w:bidi="ar"/>
              </w:rPr>
              <w:t>的依据，相关支出无票据印证（部分残疾人因票据保管不当无法提供），评估人员仅依据现场可见物资按当前市场价核定。3、经营年限印证缺失：残疾人从事现代农业经营年限无法提供有效证明，仅以个人承诺，缺乏客观印证材料。4、项目执行不均衡。自主创业、现代农业类宣传到位、申报积极，但残疾人技能提升、中介机构补贴等项目申报人数较少，存在明显差距。5、创业风险把控不足：部分创业就业的残疾人对市场创业风险把握不稳盲目创业，最终导致经营亏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1.</w:t>
            </w:r>
            <w:r>
              <w:rPr>
                <w:rFonts w:hint="default" w:ascii="Times New Roman" w:hAnsi="Times New Roman" w:eastAsia="宋体" w:cs="Times New Roman"/>
                <w:b w:val="0"/>
                <w:bCs w:val="0"/>
                <w:i w:val="0"/>
                <w:iCs w:val="0"/>
                <w:color w:val="000000"/>
                <w:kern w:val="0"/>
                <w:sz w:val="20"/>
                <w:szCs w:val="20"/>
                <w:u w:val="none"/>
                <w:lang w:val="en-US" w:eastAsia="zh-CN" w:bidi="ar"/>
              </w:rPr>
              <w:t>保障资金供给：鉴于残疾人就业保障金虽已纳入公共预算，但主要用于扶持残疾人就业创业，建议财政部门根据实际需求落实资金。即便无法完全满足需求，也应尽量缩小资金缺口。2、夯实数据基础：要求各区县每年10月联合乡镇、协会精准摸清残疾人创业底数，为下一年度预算编制提供可靠的数据依据；同时，各区县残联建立需求台账与落实台账，实现动态管理。3、强化政策培训：由就业所持续组织全市相关工作人员开展培训，包括《就业创业扶持办法》政策解读、2024年实施问题梳理、审核流程与方法（结合课件演示、实操教学），并强化工作责任心及廉政纪律教育。4、规范审核标准：结合2024年的执行情况复盘，梳理现场审核中疑难问题，通过讨论形成解决方案，提炼各项目精准审核要点，减少执行偏差。5、提升创业能力：加强残疾人就业创业孵化培训与技能培训，帮助其提升市场风险预判能力，降低创业风险概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项目负责人：吴群</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eastAsia="黑体" w:cs="Times New Roman"/>
                <w:lang w:eastAsia="zh-CN"/>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51050021T000000108732</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残疾人职业技能和实用技术培训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根据《国务院关于印发“十四五”残疾人保障和发展规划的通知》（国发〔2021〕10号）、《人力资源社会保障部 教育部 发展改革委 财政部关于印发“十四五”职业技能培训规划的通知》（人社部发〔2021〕102号）文件精神，着力提升残疾人就业创业能力，提高残疾人融入社会生活能力，带动残疾人发展增收，减轻残疾人家庭负担，增加残疾人家庭收入，改善残疾人生活状况。</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实施的残疾人职业技能培训项目共培训残疾人138人，其中盲人按摩（中级）25人，计算机文本处理及直播带货20人，中西式面点制作20人，共涉及资金49.35万元。盲人医疗按摩及继续教育73人，涉及资金9.48万元。通过多渠道、多形式促进残疾人就业创业，提升残疾人职业素质和就业创业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2024年实施的残疾人职业技能培训项目共培训残疾人65人，其中盲人按摩（中级）25人，计算机文本处理及直播带货20人，中西式面点制作20人，盲人医疗按摩及继续教育73人，共涉及资金57.68万元。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nil"/>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58.83</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57.68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98.05%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稳岗培训因程序繁琐而无企业愿意承接，因此取消此项培训。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nil"/>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58.83</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57.68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98.05%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nil"/>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nil"/>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nil"/>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盲人医疗按摩考试与继续教育人数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培训班次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培训天数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天</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残疾人职业技能培训人数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135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稳岗培训因程序繁琐而无企业愿意承接，因此取消此项培训。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岗前及稳岗培训合格率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预算调整，培训取消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残疾人职业技能培训合格率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5.9</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一人考试不合格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盲人医疗按摩考试与继续教育合格率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残疾人就业率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带动残疾人发展增收，改善残疾人家庭</w:t>
            </w:r>
            <w:r>
              <w:rPr>
                <w:rFonts w:hint="eastAsia" w:cs="Times New Roman"/>
                <w:b w:val="0"/>
                <w:bCs w:val="0"/>
                <w:i w:val="0"/>
                <w:iCs w:val="0"/>
                <w:color w:val="000000"/>
                <w:kern w:val="0"/>
                <w:sz w:val="20"/>
                <w:szCs w:val="20"/>
                <w:u w:val="none"/>
                <w:lang w:val="en-US" w:eastAsia="zh-CN" w:bidi="ar"/>
              </w:rPr>
              <w:t>生活</w:t>
            </w:r>
            <w:r>
              <w:rPr>
                <w:rFonts w:hint="default" w:ascii="Times New Roman" w:hAnsi="Times New Roman" w:eastAsia="宋体" w:cs="Times New Roman"/>
                <w:b w:val="0"/>
                <w:bCs w:val="0"/>
                <w:i w:val="0"/>
                <w:iCs w:val="0"/>
                <w:color w:val="000000"/>
                <w:kern w:val="0"/>
                <w:sz w:val="20"/>
                <w:szCs w:val="20"/>
                <w:u w:val="none"/>
                <w:lang w:val="en-US" w:eastAsia="zh-CN" w:bidi="ar"/>
              </w:rPr>
              <w:t>状况（残疾人技能得到提升，促进残疾人实现就业创业）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残疾人及残疾人家庭满意度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盲人医疗按摩考试与继续教育</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9.48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残疾人职业技能培训</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49.35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招标金额为49.5万元，扣除不合格1人培训费用0.15万元，实际付费49.35万元。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岗前及稳岗培训</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培训取消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98.7</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的实施符合相关法律法规，多渠道、多形式促进残疾人就业创业，提升残疾人就业能力、职业素质和社会参与度等，使其平等充分全面参与社会、实现自身权利和人生价值，和全市人民一道共建共享更加幸福美好的生活，项目绩效自评得分98.7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是培训机构数量少、覆盖不均衡，很多地区资源匮乏，培训内容传统单一；二是残疾人因自身身体原因，很多市场上就业容易的技能培训无法参与；三是残疾人文化程度普遍不高，短期培训难以系统掌握技能，学习过程需大量个性化指导；四是残疾人‌主动就业意识不足，参与培训的积极性不高；五是本市没有能够承接残疾人培训的机构，很多残疾人不愿意走家门，自卑、依赖心理强，“等靠要”思想普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r>
              <w:rPr>
                <w:rFonts w:hint="eastAsia" w:cs="Times New Roman"/>
                <w:b w:val="0"/>
                <w:bCs w:val="0"/>
                <w:i w:val="0"/>
                <w:iCs w:val="0"/>
                <w:color w:val="000000"/>
                <w:kern w:val="0"/>
                <w:sz w:val="20"/>
                <w:szCs w:val="20"/>
                <w:u w:val="none"/>
                <w:lang w:val="en-US" w:eastAsia="zh-CN" w:bidi="ar"/>
              </w:rPr>
              <w:t>（</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一）优化培训设计与服务‌1‌推行“分类施教+小班制”‌：按残疾类型、文化水平分层设置课程，强化一对一指导；增加心理辅导与励志教育，提升自信心。2.‌创新培训模式‌：推广“线上+线下”混合教学，开发非遗文创、新业态等特色项目；引入企业参与课程设计，确保内容贴合岗位需求。3.‌完善效果追踪‌：简化技能鉴定流程，采用“考练结合”模式；建立培训后就业跟踪机制，提供岗位对接服务。                                    （二）‌强化资源与政策保障‌1.‌扩大资源覆盖‌：依托国家级/省级培训基地/高校，向基层延伸服务；鼓励社会资本投入，发展多元化培训机构。2.‌改革补贴机制‌：将个人取证后补贴替代“组班制”，支持分散灵活培训；对贫困残疾人优先覆盖。3.‌加大财政投入‌：定向支持康复、托养与技能培训融合项目。</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构建包容性就业生态‌。1.‌消除就业歧视‌：加强企业宣传教育，推广残疾人就业典型；完善反歧视法律法规，严惩违规用人单位。2.‌搭建信息平台‌：建立残疾人就业信息库，联动企业开发适配岗位；开展“走企拓岗”拓展就业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项目负责人：李文英</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51050021T000000108747--残保金征收及残疾人就业扶持工作经费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目标1：通过开展残保金政策的宣传，让社会更多行政机关、企事业单位安置残疾人就业，残疾人享受平等就业的机会。目标2：通过开展残疾人就业状况调查、社会用工调查，寻找适合残疾人就业的项目，制定相关培训计划，让更多残疾人有就业机会。   目标3：通过开展行政执法检查，核实企业单位用人的真实性，为残疾职工维权做好保障服务。  目标4：开展招聘会、项目培训会等，促进残疾大学生就业。                                   </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开展残保金政策的宣传，促进了残疾人就业；全年组织13次残疾人就业状况、用工调查和执法检查，开发残疾人就业岗位，维护残疾人就业权益；组织残疾人培训，开展招聘会等，提升高残疾人就业技能，使残疾人有更多的就业机会。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开展残保金政策的宣传，促进了残疾人就业；全年组织13次残疾人就业状况、用工调查和执法检查，开发残疾人就业岗位，维护残疾人就业权益；组织残疾人培训，开展招聘会等，提升高残疾人就业技能，使残疾人有更多的就业机会。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75.39</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75.39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调减预算4.61万元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75.39</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75.39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完成行政执法检查、就业状况、社会用工调查企业数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聘用人员人数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完成省市招聘会、业务培训会次数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促进按比例安置残疾人就业率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政策宣传覆盖率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就业服务能力水平</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提升就业服务能力水平</w:t>
            </w:r>
            <w:r>
              <w:rPr>
                <w:rFonts w:hint="eastAsia" w:cs="Times New Roman"/>
                <w:b w:val="0"/>
                <w:bCs w:val="0"/>
                <w:i w:val="0"/>
                <w:iCs w:val="0"/>
                <w:color w:val="000000"/>
                <w:kern w:val="0"/>
                <w:sz w:val="20"/>
                <w:szCs w:val="20"/>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高中低</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促进社会关心、理解、支持残疾人的社会氛围</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理解、支持残疾人的社会氛围更加浓厚</w:t>
            </w:r>
            <w:r>
              <w:rPr>
                <w:rFonts w:hint="eastAsia" w:cs="Times New Roman"/>
                <w:b w:val="0"/>
                <w:bCs w:val="0"/>
                <w:i w:val="0"/>
                <w:iCs w:val="0"/>
                <w:color w:val="000000"/>
                <w:kern w:val="0"/>
                <w:sz w:val="20"/>
                <w:szCs w:val="20"/>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高中低</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残疾人及残疾家庭满意度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聘用人员、残疾人就业服务劳务费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行政执法检查、就业状况、社会用工调查经费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调出预算4.61万元到残疾人就业创业扶持项目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残疾人招聘会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开展残保金政策的宣传，残疾人就业状况、用工调查和执法检查，有力促进了残疾人就业，使残疾人有更多的就业机会，项目绩效自评得分100分。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项目负责人：龙冬梅</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51050021T000000108763</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市本级托养中心保障运行经费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目标1：阳光家园计划市本级集中托养，减轻了残疾人家庭负担。</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目标2：托养的开展不但能减轻服务对象的障碍情况，还能很好地挖掘残疾人的潜能，达到明显的效果</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目标3：通过工疗、娱疗项目，让大部分学员掌握了运动农技本领的同时舒缓了服务对象的情绪，改善了服务对象的精神面貌。</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目标4：通过培训残疾学员手工制作，可以</w:t>
            </w:r>
            <w:r>
              <w:rPr>
                <w:rFonts w:hint="eastAsia" w:cs="Times New Roman"/>
                <w:b w:val="0"/>
                <w:bCs w:val="0"/>
                <w:i w:val="0"/>
                <w:iCs w:val="0"/>
                <w:color w:val="000000"/>
                <w:kern w:val="0"/>
                <w:sz w:val="20"/>
                <w:szCs w:val="20"/>
                <w:u w:val="none"/>
                <w:lang w:val="en-US" w:eastAsia="zh-CN" w:bidi="ar"/>
              </w:rPr>
              <w:t>让</w:t>
            </w:r>
            <w:r>
              <w:rPr>
                <w:rFonts w:hint="default" w:ascii="Times New Roman" w:hAnsi="Times New Roman" w:eastAsia="宋体" w:cs="Times New Roman"/>
                <w:b w:val="0"/>
                <w:bCs w:val="0"/>
                <w:i w:val="0"/>
                <w:iCs w:val="0"/>
                <w:color w:val="000000"/>
                <w:kern w:val="0"/>
                <w:sz w:val="20"/>
                <w:szCs w:val="20"/>
                <w:u w:val="none"/>
                <w:lang w:val="en-US" w:eastAsia="zh-CN" w:bidi="ar"/>
              </w:rPr>
              <w:t>他们实现居家灵活就业。                                                                                                                                                                                                                                                                                                                                                                                                                                                     目标5：通过职业培训训练，让部分残疾人慢慢融入社会。</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对30名就业年龄段智力、精神和重度肢体残疾人提供以生活照料及护理、生活自理和社会适应能力训练为主，以运动功能训练、职业康复与劳动技能训练为辅的托养服务，帮助残疾人改善生活状况、提升社会参与能力，促进残疾人家庭劳动力解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对30名就业年龄段智力、精神和重度肢体残疾人提供以生活照料及护理、生活自理和社会适应能力训练为主，以运动功能训练、职业康复与劳动技能训练为辅的托养服务，帮助残疾人改善生活状况、提升社会参与能力，促进残疾人家庭劳动力解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64.00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31.00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28.66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92.45%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年初预算托养中心建设项目前期经费因该项经费已有保障，调减预算33万元用于残疾人就业创业扶持项目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64.00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31.00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28.66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92.45%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生活自理能力训练</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托养学员人数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康复训练次数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工疗、农疗项目次数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手工培训</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开展职业康复及时率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托养学员接受教育和康复水平</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掌握基本的生活技能</w:t>
            </w:r>
            <w:r>
              <w:rPr>
                <w:rFonts w:hint="eastAsia" w:cs="Times New Roman"/>
                <w:b w:val="0"/>
                <w:bCs w:val="0"/>
                <w:i w:val="0"/>
                <w:iCs w:val="0"/>
                <w:color w:val="000000"/>
                <w:kern w:val="0"/>
                <w:sz w:val="20"/>
                <w:szCs w:val="20"/>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残疾人满意度、残疾人家庭满意度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托养学员包干经费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6200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调减预算用于残疾人就业创业扶持项目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大楼物管费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10名教职工生活费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大楼维修费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新托养中心前期工作经费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年初预算托养中心建设项目前期经费因该项目经费已有保障，调减预算25万元用于残疾人就业创业扶持项目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96.7</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通过对30名精神、智力、重度残疾人提供托养服务，有效提升残疾人参与社会的能力，提高生活质量，项目绩效自评得分96.7分。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现有托养服务设施和服务能力还不能有效满足残疾人的托养需求。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加大对残疾托养服务能力建设，进一步提高残疾人保障水平。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项目负责人：陈静</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51050021Y000000024280-单项定额基本运转支出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严格执行预算，保障单位正常运转。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严格遵循预算编制与执行流程，合理分配资金用于单位日常运营各项开支，确保单位业务有序开展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1.18</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1.18</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1.18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 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严格经费预算执行，单位日常运行良好，项目绩效自评得分100分。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项目负责人：何敏</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8"/>
              <w:rPr>
                <w:rFonts w:hint="default" w:ascii="Times New Roman" w:hAnsi="Times New Roman" w:cs="Times New Roman"/>
              </w:rPr>
            </w:pPr>
          </w:p>
          <w:p>
            <w:pPr>
              <w:rPr>
                <w:rFonts w:hint="default" w:ascii="Times New Roman" w:hAnsi="Times New Roman" w:cs="Times New Roman"/>
              </w:rPr>
            </w:pPr>
          </w:p>
          <w:p>
            <w:pPr>
              <w:pStyle w:val="8"/>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51050021Y000000024281</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综合定额基本运转支出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保障单位正常运行，各项业务活动正常开展。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围绕综合定额基本运转支出，严格遵循预算编制与执行流程，合理分配资金用于单位日常运营各项开支，确保单位业务有序开展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 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2024年度，本项目严格落实经费预算执行要求，预算编制科学精准，执行过程规范高效，各项绩效指标均已完成。通过合理配置资金，实现了单位日常良好运行，项目绩效自评得分100分。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项目负责人：何敏</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rPr>
            </w:pPr>
          </w:p>
          <w:p>
            <w:pPr>
              <w:pStyle w:val="2"/>
              <w:rPr>
                <w:rFonts w:hint="default"/>
              </w:rPr>
            </w:pPr>
          </w:p>
          <w:p>
            <w:pPr>
              <w:rPr>
                <w:rFonts w:hint="default"/>
              </w:rPr>
            </w:pPr>
          </w:p>
          <w:p>
            <w:pPr>
              <w:pStyle w:val="2"/>
              <w:rPr>
                <w:rFonts w:hint="default"/>
              </w:rPr>
            </w:pPr>
          </w:p>
        </w:tc>
        <w:tc>
          <w:tcPr>
            <w:tcW w:w="1710" w:type="dxa"/>
            <w:tcBorders>
              <w:top w:val="nil"/>
              <w:left w:val="nil"/>
              <w:bottom w:val="nil"/>
              <w:right w:val="nil"/>
            </w:tcBorders>
            <w:shd w:val="clear" w:color="auto" w:fill="auto"/>
            <w:vAlign w:val="center"/>
          </w:tcPr>
          <w:p>
            <w:pPr>
              <w:pStyle w:val="8"/>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51050022T000006724053</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代管资金（单位往来资金）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职工伙食费</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规范伙食费管理，保障职工用餐需求，维护单位正常运行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规范伙食费管理，保障职工用餐需求，维护单位正常运行。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0.73</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0.73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0.73</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0.73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职工人数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保障正常运转</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可持续发展指标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中</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职工伙食费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7308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7308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规范伙食费管理，保障职工用餐需求，项目绩效自评得分100分。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项目负责人：何敏</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rPr>
            </w:pPr>
          </w:p>
          <w:p>
            <w:pPr>
              <w:pStyle w:val="2"/>
              <w:rPr>
                <w:rFonts w:hint="default"/>
              </w:rPr>
            </w:pPr>
          </w:p>
          <w:p>
            <w:pPr>
              <w:rPr>
                <w:rFonts w:hint="default"/>
              </w:rPr>
            </w:pPr>
          </w:p>
          <w:p>
            <w:pPr>
              <w:pStyle w:val="2"/>
              <w:rPr>
                <w:rFonts w:hint="default"/>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51050024R000010197607-年初预算人员支出（保工资）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严格执行相关政策，保障工资及时、足额发放和社保及时、足额缴纳，预算编制科学合理，年终无结余。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严格执行相关政策，保障工资及时、足额发放和社保及时、足额缴纳，预算编制科学合理，年终无结余。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78.42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78.42</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78.42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78.42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78.42</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78.42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严格执行相关政策，职工工资及时、足额发放和社保及时、足额缴纳，预算编制科学合理，单位运行良好，项目绩效自评得分100分。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项目负责人：何敏</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eastAsia="宋体" w:cs="Times New Roman"/>
                <w:lang w:eastAsia="zh-C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pStyle w:val="2"/>
              <w:rPr>
                <w:rFonts w:hint="eastAsia" w:eastAsia="宋体"/>
                <w:lang w:val="en-US" w:eastAsia="zh-C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51050024R000010197884-年初预算人员支出（其他）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严格执行相关政策，保障工资及时、足额发放和社保及时、足额缴纳，预算编制科学合理。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严格执行相关政策，保障工资及时、足额发放和社保及时、足额缴纳，预算编制科学合理。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0.50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3.14</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3.14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0.50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3.14</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3.14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严格执行相关政策，职工工资及时、足额发放和社保及时、足额缴纳，预算编制科学合理，单位运行良好，项目绩效自评得分100分。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项目负责人：何敏</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pStyle w:val="2"/>
              <w:rPr>
                <w:rFonts w:hint="default"/>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51050024T000012010405</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泸州市残疾人托养服务中心建设项目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整体目标：实施泸州市残疾人托养服务中心建设项目，建设</w:t>
            </w:r>
            <w:r>
              <w:rPr>
                <w:rFonts w:hint="eastAsia" w:cs="Times New Roman"/>
                <w:b w:val="0"/>
                <w:bCs w:val="0"/>
                <w:i w:val="0"/>
                <w:iCs w:val="0"/>
                <w:color w:val="000000"/>
                <w:kern w:val="0"/>
                <w:sz w:val="20"/>
                <w:szCs w:val="20"/>
                <w:u w:val="none"/>
                <w:lang w:val="en-US" w:eastAsia="zh-CN" w:bidi="ar"/>
              </w:rPr>
              <w:t>用地</w:t>
            </w:r>
            <w:r>
              <w:rPr>
                <w:rFonts w:hint="default" w:ascii="Times New Roman" w:hAnsi="Times New Roman" w:eastAsia="宋体" w:cs="Times New Roman"/>
                <w:b w:val="0"/>
                <w:bCs w:val="0"/>
                <w:i w:val="0"/>
                <w:iCs w:val="0"/>
                <w:color w:val="000000"/>
                <w:kern w:val="0"/>
                <w:sz w:val="20"/>
                <w:szCs w:val="20"/>
                <w:u w:val="none"/>
                <w:lang w:val="en-US" w:eastAsia="zh-CN" w:bidi="ar"/>
              </w:rPr>
              <w:t>15亩。规划建筑面积10074平方米，满足200名残疾人托养服务。建设内容包括托养中心土建、消防、装修、绿化等。建设周期为36个月。建设投资总概算5250万元，经费来源为中央资金及市级残保金。年度目标：完成合同内容工程竣工验收。</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完成勘察设计和土地费支付等项目建设前期工作。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完成勘察设计和土地费支付等项目建设前期工作。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948.54</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932.31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98.29%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9.83</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948.54</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932.31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98.29%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建筑面积</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10074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平方米</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≤10074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项目验收合格率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完成支付工程进度款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在项目实施方案时间完成</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 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项目使用年限</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社会基础设施条件（提升托养服务能力，项目顺利完成为高）</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接受服务对象满意度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按照合同约定支付项目建设前期经费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932.31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由于项目前期可研报告问题，耽误后续工作，加上后期发改按照财评结果修改概算批复，导致本年度未能招标施工。项目绩效自评得分99.8分。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项目负责人：杨义坤</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eastAsia" w:ascii="Times New Roman" w:hAnsi="Times New Roman" w:eastAsia="宋体" w:cs="Times New Roman"/>
                <w:b w:val="0"/>
                <w:bCs w:val="0"/>
                <w:i w:val="0"/>
                <w:iCs w:val="0"/>
                <w:color w:val="000000"/>
                <w:sz w:val="18"/>
                <w:szCs w:val="18"/>
                <w:u w:val="none"/>
                <w:lang w:eastAsia="zh-C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51050024Y000010205458</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其他运转缺口补助经费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泸州市残疾人劳动就业服务所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严格执行预算，保障单位日常运转。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iCs/>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精准编制预算，严格预算执行，保障单位日常运转，项目绩效自评得分100分。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项目负责人：何敏</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财务负责人：陈颖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51050021T000000062813</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残疾儿童康复救助经费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对我市225名聋儿、脑瘫、智障、自闭症等各类残疾儿童开展康复训练，通过训练提高他们的协调、认知、感统、日常生活技能和能力，帮助他们逐步融入社会。提高精准服务残疾儿童的能力，提升康复质量，从而切实实现残疾儿童“人人享有康复服务”。</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对我市285名聋儿、脑瘫、智障、自闭症等各类残疾儿童开展康复训练，通过训练提高他们的协调、认知、感统、日常生活技能和能力，帮助他们逐步融入社会。提高精准服务残疾儿童的能力，提升康复质量，从而切实实现残疾儿童“人人享有康复服务”。年初预算450万元，追加市级资金4.5万元，中央资金60.67万元，省级32.78万元。包括目标</w:t>
            </w:r>
            <w:r>
              <w:rPr>
                <w:rFonts w:hint="eastAsia" w:cs="Times New Roman"/>
                <w:b w:val="0"/>
                <w:bCs w:val="0"/>
                <w:i w:val="0"/>
                <w:iCs w:val="0"/>
                <w:color w:val="000000"/>
                <w:kern w:val="0"/>
                <w:sz w:val="20"/>
                <w:szCs w:val="20"/>
                <w:u w:val="none"/>
                <w:lang w:val="en-US" w:eastAsia="zh-CN" w:bidi="ar"/>
              </w:rPr>
              <w:t>任务</w:t>
            </w:r>
            <w:r>
              <w:rPr>
                <w:rFonts w:hint="default" w:ascii="Times New Roman" w:hAnsi="Times New Roman" w:eastAsia="宋体" w:cs="Times New Roman"/>
                <w:b w:val="0"/>
                <w:bCs w:val="0"/>
                <w:i w:val="0"/>
                <w:iCs w:val="0"/>
                <w:color w:val="000000"/>
                <w:kern w:val="0"/>
                <w:sz w:val="20"/>
                <w:szCs w:val="20"/>
                <w:u w:val="none"/>
                <w:lang w:val="en-US" w:eastAsia="zh-CN" w:bidi="ar"/>
              </w:rPr>
              <w:t>100人。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285名残疾儿童进行了基本康复训练；由具有符合条件的残疾儿童申报，康复中心同意后转介市人医进行康复训练。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450.00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454.50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444.50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97.80%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9.78</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根据实际康复训练情况，单位项目调整预算4.5万元。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450.00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454.50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444.50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97.80%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康复救助残疾儿童人数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康复救助残疾儿童训练时间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残疾儿童康复有效率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有需求残疾儿童得到基本康复服务覆盖率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残疾儿童或家属对康复服务的满意度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康复救助残疾儿童费用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99.78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2024年年初预算450万元，年中追加市级资金4.5万元，实际支出444.50万元，完成预算97.8%，项目绩效自评得分99.78分。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预算绩效管理执行科学化、规范化程度不高。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加大对业务人员和财务人员培训；总结项目支出评价经验，进一步改进工作措施，完善和细化指标内容，力求更加科学合理。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项目负责人：先应萍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51050021T000000062932</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精准康复及残疾人辅具中心经费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深入基层开展残疾人精准基本康复服务，为残疾人配置辅助器具，为肢体、视力、精神、智力残疾人提供基本康复服务及培训，加强康复知识宣传，努力提高受助残疾人生活自理和社会参与能力。提升康复服务能力，更好地服务残疾人，让残疾人更快融入社会，让社会满意。</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深入基层开展残疾人精准基本康复服务，为残疾人配置辅助器具，为肢体、视力、精神、智力残疾人提供基本康复服务及培训，加强康复知识宣传，努力提高受助残疾人生活自理和社会参与能力。提升康复服务能力，更好地服务残疾人，让残疾人更快融入社会，让社会满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制定计划，单位组织人员各人负责部分细项；按规定及时发放购买劳务人员工资，各种残疾人节假日组织培训和宣传；加强辅具车管理。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89.50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89.43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聘用人员和辅具中心人员减少，追减市级资金15.5万元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89.50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89.43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聘用人员</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辅具中心购买劳务人数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培训期数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期</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宣传次数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残疾儿童慰问人数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285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培训合格率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社会对残疾人工作的满意度，关心、理解、支持残疾人的社会氛围（提高人人参与残疾人事业的积极性）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残疾人或家属对基本康复服务的满意度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特种设备用车（辅具车）年定额标准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聘用人员标准，购买劳务标准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培训综合定额标准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99.99</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2024年年初预算105万元，年中追减市级资金15.5万元，实际支出89.43万元，完成预算99.92%。项目绩效自评得分99.99分。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预算绩效管理执行科学化、规范化程度不高。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加大对业务人员和财务人员培训；总结项目支出评价经验，进一步改进工作措施，完善和细化指标内容，力求更加科学合理。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项目负责人：罗小彬、敖萍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51050021T000000063055</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康复中心保障运行经费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康复中心大楼保障运行经费主要</w:t>
            </w:r>
            <w:r>
              <w:rPr>
                <w:rFonts w:hint="eastAsia" w:cs="Times New Roman"/>
                <w:b w:val="0"/>
                <w:bCs w:val="0"/>
                <w:i w:val="0"/>
                <w:iCs w:val="0"/>
                <w:color w:val="000000"/>
                <w:kern w:val="0"/>
                <w:sz w:val="20"/>
                <w:szCs w:val="20"/>
                <w:u w:val="none"/>
                <w:lang w:val="en-US" w:eastAsia="zh-CN" w:bidi="ar"/>
              </w:rPr>
              <w:t>用于</w:t>
            </w:r>
            <w:r>
              <w:rPr>
                <w:rFonts w:hint="default" w:ascii="Times New Roman" w:hAnsi="Times New Roman" w:eastAsia="宋体" w:cs="Times New Roman"/>
                <w:b w:val="0"/>
                <w:bCs w:val="0"/>
                <w:i w:val="0"/>
                <w:iCs w:val="0"/>
                <w:color w:val="000000"/>
                <w:kern w:val="0"/>
                <w:sz w:val="20"/>
                <w:szCs w:val="20"/>
                <w:u w:val="none"/>
                <w:lang w:val="en-US" w:eastAsia="zh-CN" w:bidi="ar"/>
              </w:rPr>
              <w:t>物管费、水电燃气网络使用及维保、电梯消防监控维保等，保证新中心正常开展残疾儿童康复培训和各类成人康复服务。</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完成物管费支付，中心</w:t>
            </w:r>
            <w:r>
              <w:rPr>
                <w:rFonts w:hint="eastAsia" w:cs="Times New Roman"/>
                <w:b w:val="0"/>
                <w:bCs w:val="0"/>
                <w:i w:val="0"/>
                <w:iCs w:val="0"/>
                <w:color w:val="000000"/>
                <w:kern w:val="0"/>
                <w:sz w:val="20"/>
                <w:szCs w:val="20"/>
                <w:u w:val="none"/>
                <w:lang w:val="en-US" w:eastAsia="zh-CN" w:bidi="ar"/>
              </w:rPr>
              <w:t>大楼</w:t>
            </w:r>
            <w:r>
              <w:rPr>
                <w:rFonts w:hint="default" w:ascii="Times New Roman" w:hAnsi="Times New Roman" w:eastAsia="宋体" w:cs="Times New Roman"/>
                <w:b w:val="0"/>
                <w:bCs w:val="0"/>
                <w:i w:val="0"/>
                <w:iCs w:val="0"/>
                <w:color w:val="000000"/>
                <w:kern w:val="0"/>
                <w:sz w:val="20"/>
                <w:szCs w:val="20"/>
                <w:u w:val="none"/>
                <w:lang w:val="en-US" w:eastAsia="zh-CN" w:bidi="ar"/>
              </w:rPr>
              <w:t>日常维修、消防、电梯、监控、强电、弱电、网络维修维保等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物管费根据与市人民医院的合作协议要求按时拨付人医财政专户，每月对电梯、消防、强电、弱电、网络维护保养。对日常检查发现问题及时修复，保证了康复中心正常运行。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36.00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23.89</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23.89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根据康复中心实际运转状况，追减市级资金12.11万元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36.00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23.89</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23.89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受益人数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维修维护面积</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平方米</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维修合格率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提高残疾人融入社会能力</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残疾人事业与经济社会协调发展</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提高康复中心服务水平。（提高残疾人参与社会能力）</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接受康复残疾儿童家长满意度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质保金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0.54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物管费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维护及运转费用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5.34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2024年年初预算36万元，年中追减市级资金12.11万元，实际支出23.89万元，完成预算100%。项目绩效自评得分100分。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维修费结余较多，经费估计不够。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多找</w:t>
            </w:r>
            <w:r>
              <w:rPr>
                <w:rFonts w:hint="eastAsia" w:cs="Times New Roman"/>
                <w:b w:val="0"/>
                <w:bCs w:val="0"/>
                <w:i w:val="0"/>
                <w:iCs w:val="0"/>
                <w:color w:val="000000"/>
                <w:kern w:val="0"/>
                <w:sz w:val="20"/>
                <w:szCs w:val="20"/>
                <w:u w:val="none"/>
                <w:lang w:val="en-US" w:eastAsia="zh-CN" w:bidi="ar"/>
              </w:rPr>
              <w:t>专业人士</w:t>
            </w:r>
            <w:r>
              <w:rPr>
                <w:rFonts w:hint="default" w:ascii="Times New Roman" w:hAnsi="Times New Roman" w:eastAsia="宋体" w:cs="Times New Roman"/>
                <w:b w:val="0"/>
                <w:bCs w:val="0"/>
                <w:i w:val="0"/>
                <w:iCs w:val="0"/>
                <w:color w:val="000000"/>
                <w:kern w:val="0"/>
                <w:sz w:val="20"/>
                <w:szCs w:val="20"/>
                <w:u w:val="none"/>
                <w:lang w:val="en-US" w:eastAsia="zh-CN" w:bidi="ar"/>
              </w:rPr>
              <w:t>了解情况，准确预估下年经费预算。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项目负责人：罗小彬</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51050021Y000000024280-单项定额基本运转支出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严格按预算要求完成了目标任务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严格执行相关政策，及时支付相关费用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2024年年初预算3.4万元，实际支出3.4万元，完成预算100%。项目绩效自评得分100分。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项目绩效评价工作的思路、方法、操作规程认识不够深入。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总结项目支出评价经验，进一步改进工作措施，完善和细化指标内容，力求 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项目负责人：敖萍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rPr>
            </w:pPr>
          </w:p>
          <w:p>
            <w:pPr>
              <w:pStyle w:val="2"/>
              <w:rPr>
                <w:rFonts w:hint="default"/>
              </w:rPr>
            </w:pPr>
          </w:p>
          <w:p>
            <w:pPr>
              <w:rPr>
                <w:rFonts w:hint="default"/>
              </w:rPr>
            </w:pPr>
          </w:p>
          <w:p>
            <w:pPr>
              <w:pStyle w:val="2"/>
              <w:rPr>
                <w:rFonts w:hint="default"/>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51050021Y000000024281</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综合定额基本运转支出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严格按预算要求完成了目标任务。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保障单位日常运转，及时支付相关费用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38.99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年终实际结余53.16元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38.99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8.97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99.99</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2024年年初预算39万元，实际支出38.99万元，完成预算99.99%。项目绩效自评得分99.99分。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项目绩效评价工作的思路、方法、操作规程认识不够深入。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总结项目支出评价经验，进一步改进工作措施，完善和细化指标内容，力求 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项目负责人：敖萍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rPr>
            </w:pPr>
          </w:p>
          <w:p>
            <w:pPr>
              <w:pStyle w:val="2"/>
              <w:rPr>
                <w:rFonts w:hint="default"/>
              </w:rPr>
            </w:pPr>
          </w:p>
          <w:p>
            <w:pPr>
              <w:pStyle w:val="2"/>
              <w:rPr>
                <w:rFonts w:hint="default"/>
              </w:rPr>
            </w:pPr>
          </w:p>
          <w:p>
            <w:pPr>
              <w:rPr>
                <w:rFonts w:hint="default"/>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51050022R000005120528-年初预算基本支出预留（人员支出）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严格按预算要求完成了目标任务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本单位年初在编人员13名，1月调出人员1名，2月调入人员1名，按规定及时支付。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1.27</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1.27</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2024年年初预算0万元，追加资金1.27万元，实际支出1.27万元，完成预算100%。项目绩效自评得分100分。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项目绩效评价工作的思路、方法、操作规程认识不够深入。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总结项目支出评价经验，进一步改进工作措施，完善和细化指标内容，力求 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项目负责人：敖萍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51050022T000005941576</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中央和省级财政残疾人事业发展补助资金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对我市100名</w:t>
            </w:r>
            <w:r>
              <w:rPr>
                <w:rFonts w:hint="eastAsia" w:cs="Times New Roman"/>
                <w:b w:val="0"/>
                <w:bCs w:val="0"/>
                <w:i w:val="0"/>
                <w:iCs w:val="0"/>
                <w:color w:val="000000"/>
                <w:kern w:val="0"/>
                <w:sz w:val="20"/>
                <w:szCs w:val="20"/>
                <w:u w:val="none"/>
                <w:lang w:val="en-US" w:eastAsia="zh-CN" w:bidi="ar"/>
              </w:rPr>
              <w:t>0—6岁</w:t>
            </w:r>
            <w:r>
              <w:rPr>
                <w:rFonts w:hint="default" w:ascii="Times New Roman" w:hAnsi="Times New Roman" w:eastAsia="宋体" w:cs="Times New Roman"/>
                <w:b w:val="0"/>
                <w:bCs w:val="0"/>
                <w:i w:val="0"/>
                <w:iCs w:val="0"/>
                <w:color w:val="000000"/>
                <w:kern w:val="0"/>
                <w:sz w:val="20"/>
                <w:szCs w:val="20"/>
                <w:u w:val="none"/>
                <w:lang w:val="en-US" w:eastAsia="zh-CN" w:bidi="ar"/>
              </w:rPr>
              <w:t>聋儿、脑瘫、智障、自闭症等残疾儿童开展康复训练，通过训练提高他们的协调、认知、感统、日常生活技能和能力，帮助他们逐步融入社会。提高精准服务残疾儿童的能力，提升康复质量，从而切实实现残疾儿童“人人享有康复服务”。中省资金93.45万元，市级匹配312.55万元。</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对我市203名</w:t>
            </w:r>
            <w:r>
              <w:rPr>
                <w:rFonts w:hint="eastAsia" w:cs="Times New Roman"/>
                <w:b w:val="0"/>
                <w:bCs w:val="0"/>
                <w:i w:val="0"/>
                <w:iCs w:val="0"/>
                <w:color w:val="000000"/>
                <w:kern w:val="0"/>
                <w:sz w:val="20"/>
                <w:szCs w:val="20"/>
                <w:u w:val="none"/>
                <w:lang w:val="en-US" w:eastAsia="zh-CN" w:bidi="ar"/>
              </w:rPr>
              <w:t>0—6岁</w:t>
            </w:r>
            <w:r>
              <w:rPr>
                <w:rFonts w:hint="default" w:ascii="Times New Roman" w:hAnsi="Times New Roman" w:eastAsia="宋体" w:cs="Times New Roman"/>
                <w:b w:val="0"/>
                <w:bCs w:val="0"/>
                <w:i w:val="0"/>
                <w:iCs w:val="0"/>
                <w:color w:val="000000"/>
                <w:kern w:val="0"/>
                <w:sz w:val="20"/>
                <w:szCs w:val="20"/>
                <w:u w:val="none"/>
                <w:lang w:val="en-US" w:eastAsia="zh-CN" w:bidi="ar"/>
              </w:rPr>
              <w:t>聋儿、脑瘫、智障、自闭症等残疾儿童开展康复训练，通过训练提高他们的协调、认知、感统、日常生活技能和能力，帮助他们逐步融入社会。提高精准服务残疾儿童的能力，提升康复质量，从而切实实现残疾儿童“人人享有康复服务”。中省资金93.45万元，市级匹配312.55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203名残疾儿童进行了基本康复训练；由具有符合条件的残疾儿童申报，康复中心同意后转介市人医进行康复训练。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93.45</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93.45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追加中省资金93.45万元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93.45</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93.45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康复救助残疾儿童人数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康复救助残疾儿童训练时间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康复救助残疾儿童有效率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有需求残疾儿童得到康复服务覆盖率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可持续发展指标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政策知晓率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残疾儿童或家属对康复服务的满意度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康复救助残疾儿童费和</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元/人年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2024年年初预算0万元，年中追加中省资金93.45万元，实际支出93.45万元，完成预算100%。项目绩效自评得分100分。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预算绩效管理执行科学化、规范化程度不高。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加大对业务人员和财务人员培训；总结项目支出评价经验，进一步改进工作措施，完善和细化指标内容，力求更加科学合理。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项目负责人：先应萍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51050023T000008198222</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市残疾人文化艺术中心运行经费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弘扬残疾人身残志坚、自强不息的励志精神，丰富残疾人精神文化生活，提高残疾人综合素质，营造全社会各界尊重、关爱、帮助残疾人浓厚氛围，促进我市残疾人事业全面发展。</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弘扬残疾人身残志坚、自强不息的励志精神，丰富残疾人精神文化生活，提高残疾人综合素质，营造全社会各界尊重、关爱、帮助残疾人浓厚氛围，促进我市残疾人事业全面发展。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按合同规定付房租费、物业管理费及活动经费等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79.11</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78.53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99.27%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9.93</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追加市级资金15.89万元。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79.11</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78.53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99.27%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质保金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购材料</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租用面积</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1785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平方米</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1785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活动次数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材料合格率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时效指标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完成时间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月</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营造全社会助残和残疾人自强的文明社会氛围（丰富残疾人精神文化生活，社会各界尊重、关爱、帮助残疾人）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定性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服务对象满意度指标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群众知晓率与参与率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80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成本指标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经济成本指标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房租租金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元/平方米</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物管及其他运转费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14.74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99.93</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2024年年初预算95万元，年中追减市级资金15.89万元，实际支出78.53万元，完成预算99.27%。项目绩效自评得分99.93分。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项目绩效评价工作的思路、方法、操作规程认识不够深入。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总结项目支出评价经验，进一步改进工作措施，完善和细化指标内容，力求 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项目负责人：黄振超</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51050024R000010197607-年初预算人员支出（保工资）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严格按预算要求完成了目标任务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本单位年初在编人员13名，1月调出人员1名，2月调入人员1名，按规定及时发放工资、缴纳保险和公积金。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236.75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236.35</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235.50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99.64%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9.96</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结余资金0.85万元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236.75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236.35</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235.50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99.64%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99.96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2024年年初预算236.75万元，实际支出235.50万元，完成预算99.64%。项目绩效自评得分99.96分。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项目绩效评价工作的思路、方法、操作规程认识不够深入。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总结项目支出评价经验，进一步改进工作措施，完善和细化指标内容，力求 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项目负责人：敖萍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51050024R000010197884-年初预算人员支出（其他）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严格执行相关政策，保障工资及时、足额发放或社保及时、足额缴纳，预算编制科学合理，减少结余资金。</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严格按预算要求完成了目标任务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本单位年初在编人员13名，1月调出人员1名，2月调入人员1名，按规定及时支付。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1.64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5.52</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5.34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96.75%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9.68</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追加市级资金3.88万元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1.64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5.52</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5.34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96.75%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发放（缴纳）覆盖率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足额保障率（参保率）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99.68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2024年年初预算1.64万元，追加市级资金3.88万元，实际支出5.34万元，完成预算96.75%。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项目绩效评价工作的思路、方法、操作规程认识不够深入。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总结项目支出评价经验，进一步改进工作措施，完善和细化指标内容，力求 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项目负责人：敖萍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1041"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4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c>
          <w:tcPr>
            <w:tcW w:w="17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6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72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81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58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c>
          <w:tcPr>
            <w:tcW w:w="630"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18"/>
                <w:szCs w:val="18"/>
                <w:u w:val="none"/>
              </w:rPr>
            </w:pPr>
          </w:p>
        </w:tc>
        <w:tc>
          <w:tcPr>
            <w:tcW w:w="2255" w:type="dxa"/>
            <w:tcBorders>
              <w:top w:val="nil"/>
              <w:left w:val="nil"/>
              <w:bottom w:val="nil"/>
              <w:right w:val="nil"/>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sz w:val="30"/>
                <w:szCs w:val="30"/>
                <w:u w:val="none"/>
              </w:rPr>
            </w:pPr>
            <w:r>
              <w:rPr>
                <w:rFonts w:hint="default" w:ascii="Times New Roman" w:hAnsi="Times New Roman" w:eastAsia="黑体" w:cs="Times New Roman"/>
                <w:b w:val="0"/>
                <w:bCs w:val="0"/>
                <w:i w:val="0"/>
                <w:iCs w:val="0"/>
                <w:color w:val="000000"/>
                <w:kern w:val="0"/>
                <w:sz w:val="30"/>
                <w:szCs w:val="30"/>
                <w:u w:val="none"/>
                <w:lang w:val="en-US" w:eastAsia="zh-CN" w:bidi="ar"/>
              </w:rPr>
              <w:t>部门预算项目支出绩效评价表（2024年度）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项目名称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51050024Y000010205458</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其他运转缺口补助经费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主管部门</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市残联部门</w:t>
            </w:r>
          </w:p>
        </w:tc>
        <w:tc>
          <w:tcPr>
            <w:tcW w:w="81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实施单位           （盖章）</w:t>
            </w:r>
          </w:p>
        </w:tc>
        <w:tc>
          <w:tcPr>
            <w:tcW w:w="34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泸州市残疾人康复服务中心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项目基本情况</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1.项目年度目标完成情况</w:t>
            </w: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项目年度目标</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45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提高预算编制质量，严格执行预算，保障单位日常运转。</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严格按预算要求完成了目标任务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2.项目实施内容及过程概述</w:t>
            </w:r>
          </w:p>
        </w:tc>
        <w:tc>
          <w:tcPr>
            <w:tcW w:w="88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本单位年初在编人员13名，1月调出人员1名，2月调入人员1名，按规定及时支付。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预算执行情况（10分）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年度预算数（万元）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年初预算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调整后预算数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财政专户管理资金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单位资金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其他资金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绩效指标（90分）</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二级指标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指标性质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指标值</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度量单位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权重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得分</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产出指标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数量指标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科目调整次数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质量指标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预算编制准确率（计算方法为：∣执行数</w:t>
            </w:r>
            <w:r>
              <w:rPr>
                <w:rFonts w:hint="eastAsia" w:cs="Times New Roman"/>
                <w:b w:val="0"/>
                <w:bCs w:val="0"/>
                <w:i w:val="0"/>
                <w:iCs w:val="0"/>
                <w:color w:val="000000"/>
                <w:kern w:val="0"/>
                <w:sz w:val="20"/>
                <w:szCs w:val="20"/>
                <w:u w:val="none"/>
                <w:lang w:val="en-US" w:eastAsia="zh-CN" w:bidi="ar"/>
              </w:rPr>
              <w:t>－</w:t>
            </w:r>
            <w:r>
              <w:rPr>
                <w:rFonts w:hint="default" w:ascii="Times New Roman" w:hAnsi="Times New Roman" w:eastAsia="宋体" w:cs="Times New Roman"/>
                <w:b w:val="0"/>
                <w:bCs w:val="0"/>
                <w:i w:val="0"/>
                <w:iCs w:val="0"/>
                <w:color w:val="000000"/>
                <w:kern w:val="0"/>
                <w:sz w:val="20"/>
                <w:szCs w:val="20"/>
                <w:u w:val="none"/>
                <w:lang w:val="en-US" w:eastAsia="zh-CN" w:bidi="ar"/>
              </w:rPr>
              <w:t>预算数/预算数∣）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经济效益指标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控制率[计算方法为：（</w:t>
            </w:r>
            <w:r>
              <w:rPr>
                <w:rFonts w:hint="eastAsia" w:cs="Times New Roman"/>
                <w:b w:val="0"/>
                <w:bCs w:val="0"/>
                <w:i w:val="0"/>
                <w:iCs w:val="0"/>
                <w:color w:val="000000"/>
                <w:kern w:val="0"/>
                <w:sz w:val="20"/>
                <w:szCs w:val="20"/>
                <w:u w:val="none"/>
                <w:lang w:val="en-US" w:eastAsia="zh-CN" w:bidi="ar"/>
              </w:rPr>
              <w:t>“三公”经费</w:t>
            </w:r>
            <w:r>
              <w:rPr>
                <w:rFonts w:hint="default" w:ascii="Times New Roman" w:hAnsi="Times New Roman" w:eastAsia="宋体" w:cs="Times New Roman"/>
                <w:b w:val="0"/>
                <w:bCs w:val="0"/>
                <w:i w:val="0"/>
                <w:iCs w:val="0"/>
                <w:color w:val="000000"/>
                <w:kern w:val="0"/>
                <w:sz w:val="20"/>
                <w:szCs w:val="20"/>
                <w:u w:val="none"/>
                <w:lang w:val="en-US" w:eastAsia="zh-CN" w:bidi="ar"/>
              </w:rPr>
              <w:t>实际支出数/预算安排数]×100%）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社会效益指标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运转保障率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1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exact"/>
              <w:rPr>
                <w:rFonts w:hint="default" w:ascii="Times New Roman" w:hAnsi="Times New Roman" w:eastAsia="宋体"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评价结论</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2024年年初预算2.6万元，实际支出2.6万元，完成预算100%。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存在问题</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项目绩效评价工作的思路、方法、操作规程认识不够深入。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改进措施</w:t>
            </w:r>
          </w:p>
        </w:tc>
        <w:tc>
          <w:tcPr>
            <w:tcW w:w="988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总结项目支出评价经验，进一步改进工作措施，完善和细化指标内容，力求 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94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项目负责人：敖萍</w:t>
            </w:r>
          </w:p>
        </w:tc>
        <w:tc>
          <w:tcPr>
            <w:tcW w:w="5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b w:val="0"/>
                <w:bCs w:val="0"/>
                <w:i w:val="0"/>
                <w:iCs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财务负责人：李良伟</w:t>
            </w:r>
          </w:p>
        </w:tc>
      </w:tr>
    </w:tbl>
    <w:p>
      <w:pPr>
        <w:pStyle w:val="8"/>
        <w:rPr>
          <w:rFonts w:hint="default" w:ascii="Times New Roman" w:hAnsi="Times New Roman" w:eastAsia="黑体" w:cs="Times New Roman"/>
          <w:b/>
          <w:bCs/>
          <w:color w:val="auto"/>
          <w:kern w:val="0"/>
          <w:sz w:val="32"/>
          <w:szCs w:val="32"/>
          <w:highlight w:val="none"/>
          <w:shd w:val="clear" w:color="auto" w:fill="FFFFFF"/>
          <w:lang w:val="zh-CN"/>
        </w:rPr>
        <w:sectPr>
          <w:footerReference r:id="rId10" w:type="default"/>
          <w:pgSz w:w="11906" w:h="16838"/>
          <w:pgMar w:top="850" w:right="680" w:bottom="680" w:left="680" w:header="851" w:footer="992" w:gutter="0"/>
          <w:pgNumType w:fmt="decimal" w:start="41"/>
          <w:cols w:space="0" w:num="1"/>
          <w:rtlGutter w:val="0"/>
          <w:docGrid w:type="lines" w:linePitch="312" w:charSpace="0"/>
        </w:sectPr>
      </w:pPr>
    </w:p>
    <w:p>
      <w:pPr>
        <w:pStyle w:val="8"/>
        <w:rPr>
          <w:rFonts w:hint="default" w:ascii="Times New Roman" w:hAnsi="Times New Roman" w:eastAsia="黑体" w:cs="Times New Roman"/>
          <w:b/>
          <w:bCs/>
          <w:color w:val="auto"/>
          <w:sz w:val="32"/>
          <w:szCs w:val="32"/>
          <w:highlight w:val="none"/>
          <w:lang w:val="en-US" w:eastAsia="zh-CN"/>
        </w:rPr>
      </w:pPr>
      <w:r>
        <w:rPr>
          <w:rFonts w:hint="default" w:ascii="Times New Roman" w:hAnsi="Times New Roman" w:eastAsia="黑体" w:cs="Times New Roman"/>
          <w:b/>
          <w:bCs/>
          <w:color w:val="auto"/>
          <w:kern w:val="0"/>
          <w:sz w:val="32"/>
          <w:szCs w:val="32"/>
          <w:highlight w:val="none"/>
          <w:shd w:val="clear" w:color="auto" w:fill="FFFFFF"/>
          <w:lang w:val="zh-CN"/>
        </w:rPr>
        <w:t>附件</w:t>
      </w:r>
      <w:r>
        <w:rPr>
          <w:rFonts w:hint="default" w:ascii="Times New Roman" w:hAnsi="Times New Roman" w:eastAsia="黑体" w:cs="Times New Roman"/>
          <w:b/>
          <w:bCs/>
          <w:color w:val="auto"/>
          <w:kern w:val="0"/>
          <w:sz w:val="32"/>
          <w:szCs w:val="32"/>
          <w:highlight w:val="none"/>
          <w:shd w:val="clear" w:color="auto" w:fill="FFFFFF"/>
          <w:lang w:val="en-US" w:eastAsia="zh-CN"/>
        </w:rPr>
        <w:t>2</w:t>
      </w:r>
    </w:p>
    <w:p>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Times New Roman" w:hAnsi="Times New Roman" w:eastAsia="方正小标宋简体" w:cs="Times New Roman"/>
          <w:b/>
          <w:bCs/>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bCs/>
          <w:color w:val="auto"/>
          <w:sz w:val="44"/>
          <w:szCs w:val="44"/>
          <w:lang w:val="en-US" w:eastAsia="zh-CN"/>
        </w:rPr>
      </w:pPr>
      <w:r>
        <w:rPr>
          <w:rFonts w:hint="default" w:ascii="Times New Roman" w:hAnsi="Times New Roman" w:eastAsia="方正小标宋简体" w:cs="Times New Roman"/>
          <w:b/>
          <w:bCs/>
          <w:color w:val="auto"/>
          <w:sz w:val="44"/>
          <w:szCs w:val="44"/>
          <w:lang w:val="en-US" w:eastAsia="zh-CN"/>
        </w:rPr>
        <w:t>泸州市残疾人联合会</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方正小标宋简体" w:cs="Times New Roman"/>
          <w:b/>
          <w:bCs/>
          <w:color w:val="auto"/>
          <w:sz w:val="44"/>
          <w:szCs w:val="44"/>
          <w:lang w:val="en-US" w:eastAsia="zh-CN"/>
        </w:rPr>
      </w:pPr>
      <w:r>
        <w:rPr>
          <w:rFonts w:hint="default" w:ascii="Times New Roman" w:hAnsi="Times New Roman" w:eastAsia="方正小标宋简体" w:cs="Times New Roman"/>
          <w:b/>
          <w:bCs/>
          <w:color w:val="auto"/>
          <w:sz w:val="44"/>
          <w:szCs w:val="44"/>
          <w:lang w:val="en-US" w:eastAsia="zh-CN"/>
        </w:rPr>
        <w:t>2024年度残疾人事业发展市级补助资金</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方正小标宋简体" w:cs="Times New Roman"/>
          <w:b/>
          <w:bCs/>
          <w:color w:val="auto"/>
          <w:sz w:val="44"/>
          <w:szCs w:val="44"/>
          <w:lang w:val="en-US" w:eastAsia="zh-CN"/>
        </w:rPr>
      </w:pPr>
      <w:r>
        <w:rPr>
          <w:rFonts w:hint="default" w:ascii="Times New Roman" w:hAnsi="Times New Roman" w:eastAsia="方正小标宋简体" w:cs="Times New Roman"/>
          <w:b/>
          <w:bCs/>
          <w:color w:val="auto"/>
          <w:sz w:val="44"/>
          <w:szCs w:val="44"/>
          <w:lang w:val="en-US" w:eastAsia="zh-CN"/>
        </w:rPr>
        <w:t>绩效自评报告</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方正黑体简体" w:cs="Times New Roman"/>
          <w:b/>
          <w:bCs/>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方正黑体简体" w:cs="Times New Roman"/>
          <w:b/>
          <w:bCs/>
          <w:color w:val="auto"/>
          <w:sz w:val="32"/>
          <w:szCs w:val="32"/>
        </w:rPr>
      </w:pPr>
      <w:r>
        <w:rPr>
          <w:rFonts w:hint="default" w:ascii="Times New Roman" w:hAnsi="Times New Roman" w:eastAsia="方正黑体简体" w:cs="Times New Roman"/>
          <w:b/>
          <w:bCs/>
          <w:color w:val="auto"/>
          <w:sz w:val="32"/>
          <w:szCs w:val="32"/>
        </w:rPr>
        <w:t>一、项目概况</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楷体简体" w:cs="Times New Roman"/>
          <w:b/>
          <w:bCs/>
          <w:color w:val="auto"/>
          <w:sz w:val="32"/>
          <w:szCs w:val="32"/>
        </w:rPr>
        <w:t>（一）设立背景及基本情况​</w:t>
      </w:r>
      <w:r>
        <w:rPr>
          <w:rFonts w:hint="default" w:ascii="Times New Roman" w:hAnsi="Times New Roman" w:eastAsia="方正仿宋简体" w:cs="Times New Roman"/>
          <w:b/>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根据</w:t>
      </w:r>
      <w:r>
        <w:rPr>
          <w:rFonts w:hint="default" w:ascii="Times New Roman" w:hAnsi="Times New Roman" w:eastAsia="方正仿宋简体" w:cs="Times New Roman"/>
          <w:b/>
          <w:bCs/>
          <w:color w:val="auto"/>
          <w:sz w:val="32"/>
          <w:szCs w:val="32"/>
        </w:rPr>
        <w:t>《</w:t>
      </w:r>
      <w:r>
        <w:rPr>
          <w:rFonts w:hint="default" w:ascii="Times New Roman" w:hAnsi="Times New Roman" w:eastAsia="方正仿宋简体" w:cs="Times New Roman"/>
          <w:b/>
          <w:bCs/>
          <w:color w:val="auto"/>
          <w:sz w:val="32"/>
          <w:szCs w:val="32"/>
          <w:lang w:eastAsia="zh-CN"/>
        </w:rPr>
        <w:t>四川省残疾人联合会</w:t>
      </w:r>
      <w:r>
        <w:rPr>
          <w:rFonts w:hint="default" w:ascii="Times New Roman" w:hAnsi="Times New Roman" w:eastAsia="方正仿宋简体" w:cs="Times New Roman"/>
          <w:b/>
          <w:bCs/>
          <w:color w:val="auto"/>
          <w:sz w:val="32"/>
          <w:szCs w:val="32"/>
        </w:rPr>
        <w:t>关于做好2024年中央和省级财政残疾人事业发展补助资金项目绩效管理工作的通知》</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川残办〔2024〕24号</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lang w:val="en-US" w:eastAsia="zh-CN"/>
        </w:rPr>
        <w:t>四川省残疾人联合会</w:t>
      </w:r>
      <w:r>
        <w:rPr>
          <w:rFonts w:hint="default" w:ascii="Times New Roman" w:hAnsi="Times New Roman" w:eastAsia="方正仿宋简体" w:cs="Times New Roman"/>
          <w:b/>
          <w:bCs/>
          <w:color w:val="auto"/>
          <w:sz w:val="32"/>
          <w:szCs w:val="32"/>
          <w:lang w:eastAsia="zh-CN"/>
        </w:rPr>
        <w:t>关于印发〈四川省2024年困难重度残疾人家庭无障碍改造项目实施方案〉的通知》</w:t>
      </w:r>
      <w:r>
        <w:rPr>
          <w:rFonts w:hint="default" w:ascii="Times New Roman" w:hAnsi="Times New Roman" w:eastAsia="方正仿宋简体" w:cs="Times New Roman"/>
          <w:b/>
          <w:bCs/>
          <w:color w:val="auto"/>
          <w:sz w:val="32"/>
          <w:szCs w:val="32"/>
        </w:rPr>
        <w:t>《</w:t>
      </w:r>
      <w:r>
        <w:rPr>
          <w:rFonts w:hint="default" w:ascii="Times New Roman" w:hAnsi="Times New Roman" w:eastAsia="方正仿宋简体" w:cs="Times New Roman"/>
          <w:b/>
          <w:bCs/>
          <w:color w:val="auto"/>
          <w:sz w:val="32"/>
          <w:szCs w:val="32"/>
          <w:lang w:val="en-US" w:eastAsia="zh-CN"/>
        </w:rPr>
        <w:t>泸州市残疾人联合会</w:t>
      </w:r>
      <w:r>
        <w:rPr>
          <w:rFonts w:hint="default" w:ascii="Times New Roman" w:hAnsi="Times New Roman" w:eastAsia="方正仿宋简体" w:cs="Times New Roman"/>
          <w:b/>
          <w:bCs/>
          <w:color w:val="auto"/>
          <w:sz w:val="32"/>
          <w:szCs w:val="32"/>
        </w:rPr>
        <w:t>关于做好2024年残疾人事业发展补助资金项目绩效管理工作的通知》</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泸市残〔2024〕24号</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等文件要求</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市残联作为项目主管部门</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根据三区残疾人康复服务</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包含</w:t>
      </w:r>
      <w:r>
        <w:rPr>
          <w:rFonts w:hint="default" w:ascii="Times New Roman" w:hAnsi="Times New Roman" w:eastAsia="方正仿宋简体" w:cs="Times New Roman"/>
          <w:b/>
          <w:bCs/>
          <w:color w:val="auto"/>
          <w:sz w:val="32"/>
          <w:szCs w:val="32"/>
          <w:lang w:eastAsia="zh-CN"/>
        </w:rPr>
        <w:t>0—6岁</w:t>
      </w:r>
      <w:r>
        <w:rPr>
          <w:rFonts w:hint="default" w:ascii="Times New Roman" w:hAnsi="Times New Roman" w:eastAsia="方正仿宋简体" w:cs="Times New Roman"/>
          <w:b/>
          <w:bCs/>
          <w:color w:val="auto"/>
          <w:sz w:val="32"/>
          <w:szCs w:val="32"/>
        </w:rPr>
        <w:t>残疾儿童康复救助、残疾人基本康复服务、基本辅具适配服务项目</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困难残疾人家庭无障碍改造、残疾人之家建设等三大重点项目目标任务数，于年初申请市级补助资金420万元，用于改善残疾人在基本生活、医疗卫生、康复、社会参与等方面工作，进一步促进三区残疾人事业发展。</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楷体简体" w:cs="Times New Roman"/>
          <w:b/>
          <w:bCs/>
          <w:color w:val="auto"/>
          <w:sz w:val="32"/>
          <w:szCs w:val="32"/>
        </w:rPr>
        <w:t>（二）实施目的及支持方向​</w:t>
      </w:r>
      <w:r>
        <w:rPr>
          <w:rFonts w:hint="default" w:ascii="Times New Roman" w:hAnsi="Times New Roman" w:eastAsia="方正仿宋简体" w:cs="Times New Roman"/>
          <w:b/>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eastAsia="zh-CN"/>
        </w:rPr>
      </w:pPr>
      <w:r>
        <w:rPr>
          <w:rFonts w:hint="default" w:ascii="Times New Roman" w:hAnsi="Times New Roman" w:eastAsia="方正仿宋简体" w:cs="Times New Roman"/>
          <w:b/>
          <w:bCs/>
          <w:color w:val="auto"/>
          <w:sz w:val="32"/>
          <w:szCs w:val="32"/>
          <w:lang w:eastAsia="zh-CN"/>
        </w:rPr>
        <w:t>项目以健全残疾人权益保障体系为核心目标，重点实施康复救助、居家无障碍环境改善和基层服务残疾人阵地建设，专项用于弥补“三区”中省项目资金的缺口。资金精准投向以下三个方面：一是残疾人康复服务。为“三区”残疾人提供康复服务11075人次（任务指标10758人次）；二是困难和重度残疾人家庭无障碍改造。完成646户困难残疾人家庭无障碍改造（任务指标646户）；三是残疾人之家建设。建成5个标准化“残疾人之家”（任务指标3个）。</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楷体简体" w:cs="Times New Roman"/>
          <w:b/>
          <w:bCs/>
          <w:color w:val="auto"/>
          <w:sz w:val="32"/>
          <w:szCs w:val="32"/>
        </w:rPr>
        <w:t>（三）预算安排及分配管理​</w:t>
      </w:r>
      <w:r>
        <w:rPr>
          <w:rFonts w:hint="default" w:ascii="Times New Roman" w:hAnsi="Times New Roman" w:eastAsia="方正仿宋简体" w:cs="Times New Roman"/>
          <w:b/>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2024年残疾人事业发展市级补助资金项目由市残联代编预算，已纳入市级财政年初预算，资金总规模420万元。</w:t>
      </w:r>
      <w:r>
        <w:rPr>
          <w:rFonts w:hint="default" w:ascii="Times New Roman" w:hAnsi="Times New Roman" w:eastAsia="方正仿宋简体" w:cs="Times New Roman"/>
          <w:b/>
          <w:bCs/>
          <w:color w:val="auto"/>
          <w:sz w:val="32"/>
          <w:szCs w:val="32"/>
          <w:lang w:eastAsia="zh-CN"/>
        </w:rPr>
        <w:t>市财政局、市残联</w:t>
      </w:r>
      <w:r>
        <w:rPr>
          <w:rFonts w:hint="default" w:ascii="Times New Roman" w:hAnsi="Times New Roman" w:eastAsia="方正仿宋简体" w:cs="Times New Roman"/>
          <w:b/>
          <w:bCs/>
          <w:color w:val="auto"/>
          <w:sz w:val="32"/>
          <w:szCs w:val="32"/>
        </w:rPr>
        <w:t>印发《关于下达2024年残疾人事业发展市级补助资金的通知》（泸市财社〔2024〕</w:t>
      </w:r>
      <w:r>
        <w:rPr>
          <w:rFonts w:hint="default" w:ascii="Times New Roman" w:hAnsi="Times New Roman" w:eastAsia="方正仿宋简体" w:cs="Times New Roman"/>
          <w:b/>
          <w:bCs/>
          <w:color w:val="auto"/>
          <w:sz w:val="32"/>
          <w:szCs w:val="32"/>
          <w:lang w:val="en-US" w:eastAsia="zh-CN"/>
        </w:rPr>
        <w:t>26</w:t>
      </w:r>
      <w:r>
        <w:rPr>
          <w:rFonts w:hint="default" w:ascii="Times New Roman" w:hAnsi="Times New Roman" w:eastAsia="方正仿宋简体" w:cs="Times New Roman"/>
          <w:b/>
          <w:bCs/>
          <w:color w:val="auto"/>
          <w:sz w:val="32"/>
          <w:szCs w:val="32"/>
        </w:rPr>
        <w:t>号）</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年初先行向三区预拨377万元，其中江阳区120万元、龙马潭区122万元、纳溪区135万元。</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2024年8月，市财政局、市残联依据《泸州市市级财政性资金管理决策程序规定》（泸市府办发〔2024〕12号），采用“因素法”对资金进行二次分配，分配因素包括持证残疾人数量、重点工作任务量、绩效管理水平及财政困难程度等。两部门联合印发《关于下达</w:t>
      </w:r>
      <w:r>
        <w:rPr>
          <w:rFonts w:hint="default" w:ascii="Times New Roman" w:hAnsi="Times New Roman" w:eastAsia="方正仿宋简体" w:cs="Times New Roman"/>
          <w:b/>
          <w:bCs/>
          <w:color w:val="auto"/>
          <w:sz w:val="32"/>
          <w:szCs w:val="32"/>
          <w:lang w:val="en-US" w:eastAsia="zh-CN"/>
        </w:rPr>
        <w:t>2</w:t>
      </w:r>
      <w:r>
        <w:rPr>
          <w:rFonts w:hint="default" w:ascii="Times New Roman" w:hAnsi="Times New Roman" w:eastAsia="方正仿宋简体" w:cs="Times New Roman"/>
          <w:b/>
          <w:bCs/>
          <w:color w:val="auto"/>
          <w:sz w:val="32"/>
          <w:szCs w:val="32"/>
        </w:rPr>
        <w:t>024年残疾人事业发展市级补助资金（第二批）的通知》（泸市财社〔2024〕87号），追加下达第二批资金43万元，其中江阳区8.8万元、龙马潭区14.84万元、纳溪区19.36万元。</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综上，2024年残疾人事业发展市级补助资金共计420万元，最终分配为：江阳区128.8万元、龙马潭区136.84万元、纳溪区154.36万元。资金全部由各区统筹用于残疾人康复服务、困难残疾人家庭无障碍改造和“残疾人之家”建设三个方向。该项目按要求编制年度预算未发现成本测算不合理、不准确及未落实零基预算管理要求等问题。</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楷体简体" w:cs="Times New Roman"/>
          <w:b/>
          <w:bCs/>
          <w:color w:val="auto"/>
          <w:sz w:val="32"/>
          <w:szCs w:val="32"/>
        </w:rPr>
        <w:t>（四）项目绩效目标设置​</w:t>
      </w:r>
      <w:r>
        <w:rPr>
          <w:rFonts w:hint="default" w:ascii="Times New Roman" w:hAnsi="Times New Roman" w:eastAsia="方正仿宋简体" w:cs="Times New Roman"/>
          <w:b/>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zh-CN" w:eastAsia="zh-CN"/>
        </w:rPr>
      </w:pPr>
      <w:r>
        <w:rPr>
          <w:rFonts w:hint="default" w:ascii="Times New Roman" w:hAnsi="Times New Roman" w:eastAsia="方正仿宋简体" w:cs="Times New Roman"/>
          <w:b/>
          <w:bCs/>
          <w:color w:val="auto"/>
          <w:sz w:val="32"/>
          <w:szCs w:val="32"/>
          <w:lang w:val="zh-CN" w:eastAsia="zh-CN"/>
        </w:rPr>
        <w:t>依据资金分配文件，市残联年初统一设定2024年度残疾人事业发展市级补助资金项目绩效目标，内容如下：</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zh-CN" w:eastAsia="zh-CN"/>
        </w:rPr>
      </w:pPr>
      <w:r>
        <w:rPr>
          <w:rFonts w:hint="default" w:ascii="Times New Roman" w:hAnsi="Times New Roman" w:eastAsia="方正仿宋简体" w:cs="Times New Roman"/>
          <w:b/>
          <w:bCs/>
          <w:color w:val="auto"/>
          <w:sz w:val="32"/>
          <w:szCs w:val="32"/>
          <w:lang w:val="en-US" w:eastAsia="zh-CN"/>
        </w:rPr>
        <w:t>1.</w:t>
      </w:r>
      <w:r>
        <w:rPr>
          <w:rFonts w:hint="default" w:ascii="Times New Roman" w:hAnsi="Times New Roman" w:eastAsia="方正仿宋简体" w:cs="Times New Roman"/>
          <w:b/>
          <w:bCs/>
          <w:color w:val="auto"/>
          <w:sz w:val="32"/>
          <w:szCs w:val="32"/>
          <w:lang w:val="zh-CN" w:eastAsia="zh-CN"/>
        </w:rPr>
        <w:t>年度总体目标：全面支持落实好残疾人康复、无障碍改造、社会保障等扶持政策，健全残疾人权益保障制度和扶残助残服务体系，提升残疾人基本公共服务保障水平。</w:t>
      </w:r>
      <w:r>
        <w:rPr>
          <w:rFonts w:hint="default" w:ascii="Times New Roman" w:hAnsi="Times New Roman" w:eastAsia="方正仿宋简体" w:cs="Times New Roman"/>
          <w:b/>
          <w:bCs/>
          <w:color w:val="auto"/>
          <w:sz w:val="32"/>
          <w:szCs w:val="32"/>
          <w:lang w:val="en-US" w:eastAsia="zh-CN"/>
        </w:rPr>
        <w:t>一是</w:t>
      </w:r>
      <w:r>
        <w:rPr>
          <w:rFonts w:hint="default" w:ascii="Times New Roman" w:hAnsi="Times New Roman" w:eastAsia="方正仿宋简体" w:cs="Times New Roman"/>
          <w:b/>
          <w:bCs/>
          <w:color w:val="auto"/>
          <w:sz w:val="32"/>
          <w:szCs w:val="32"/>
          <w:lang w:val="zh-CN" w:eastAsia="zh-CN"/>
        </w:rPr>
        <w:t>通过开展残疾人康复服务工作，为肢体、视力、精神、智力残疾人提供康复训练、配置辅助器具、基本康复服务等，努力提高受助残疾人生活自理和社会参与能力；</w:t>
      </w:r>
      <w:r>
        <w:rPr>
          <w:rFonts w:hint="default" w:ascii="Times New Roman" w:hAnsi="Times New Roman" w:eastAsia="方正仿宋简体" w:cs="Times New Roman"/>
          <w:b/>
          <w:bCs/>
          <w:color w:val="auto"/>
          <w:sz w:val="32"/>
          <w:szCs w:val="32"/>
          <w:lang w:val="en-US" w:eastAsia="zh-CN"/>
        </w:rPr>
        <w:t>二是</w:t>
      </w:r>
      <w:r>
        <w:rPr>
          <w:rFonts w:hint="default" w:ascii="Times New Roman" w:hAnsi="Times New Roman" w:eastAsia="方正仿宋简体" w:cs="Times New Roman"/>
          <w:b/>
          <w:bCs/>
          <w:color w:val="auto"/>
          <w:sz w:val="32"/>
          <w:szCs w:val="32"/>
          <w:lang w:val="zh-CN" w:eastAsia="zh-CN"/>
        </w:rPr>
        <w:t>支持困难重度残疾人实施家庭无障碍改造，改善残疾人居家环境。</w:t>
      </w:r>
      <w:r>
        <w:rPr>
          <w:rFonts w:hint="default" w:ascii="Times New Roman" w:hAnsi="Times New Roman" w:eastAsia="方正仿宋简体" w:cs="Times New Roman"/>
          <w:b/>
          <w:bCs/>
          <w:color w:val="auto"/>
          <w:sz w:val="32"/>
          <w:szCs w:val="32"/>
          <w:lang w:val="en-US" w:eastAsia="zh-CN"/>
        </w:rPr>
        <w:t>三是</w:t>
      </w:r>
      <w:r>
        <w:rPr>
          <w:rFonts w:hint="default" w:ascii="Times New Roman" w:hAnsi="Times New Roman" w:eastAsia="方正仿宋简体" w:cs="Times New Roman"/>
          <w:b/>
          <w:bCs/>
          <w:color w:val="auto"/>
          <w:sz w:val="32"/>
          <w:szCs w:val="32"/>
          <w:lang w:val="zh-CN" w:eastAsia="zh-CN"/>
        </w:rPr>
        <w:t>通过对残疾人之家建设进行补贴，满足残疾群众多元化服务需求，提升残联组织服务能力，增强残疾群众的获得感和幸福感。</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zh-CN" w:eastAsia="zh-CN"/>
        </w:rPr>
      </w:pPr>
      <w:r>
        <w:rPr>
          <w:rFonts w:hint="default" w:ascii="Times New Roman" w:hAnsi="Times New Roman" w:eastAsia="方正仿宋简体" w:cs="Times New Roman"/>
          <w:b/>
          <w:bCs/>
          <w:color w:val="auto"/>
          <w:sz w:val="32"/>
          <w:szCs w:val="32"/>
          <w:lang w:val="en-US" w:eastAsia="zh-CN"/>
        </w:rPr>
        <w:t>2.</w:t>
      </w:r>
      <w:r>
        <w:rPr>
          <w:rFonts w:hint="default" w:ascii="Times New Roman" w:hAnsi="Times New Roman" w:eastAsia="方正仿宋简体" w:cs="Times New Roman"/>
          <w:b/>
          <w:bCs/>
          <w:color w:val="auto"/>
          <w:sz w:val="32"/>
          <w:szCs w:val="32"/>
          <w:lang w:val="zh-CN" w:eastAsia="zh-CN"/>
        </w:rPr>
        <w:t>具体绩效指标</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zh-CN" w:eastAsia="zh-CN"/>
        </w:rPr>
      </w:pPr>
      <w:r>
        <w:rPr>
          <w:rFonts w:hint="default" w:ascii="Times New Roman" w:hAnsi="Times New Roman" w:eastAsia="方正仿宋简体" w:cs="Times New Roman"/>
          <w:b/>
          <w:bCs/>
          <w:color w:val="auto"/>
          <w:sz w:val="32"/>
          <w:szCs w:val="32"/>
          <w:lang w:val="zh-CN" w:eastAsia="zh-CN"/>
        </w:rPr>
        <w:t>（</w:t>
      </w:r>
      <w:r>
        <w:rPr>
          <w:rFonts w:hint="default" w:ascii="Times New Roman" w:hAnsi="Times New Roman" w:eastAsia="方正仿宋简体" w:cs="Times New Roman"/>
          <w:b/>
          <w:bCs/>
          <w:color w:val="auto"/>
          <w:sz w:val="32"/>
          <w:szCs w:val="32"/>
          <w:lang w:val="en-US" w:eastAsia="zh-CN"/>
        </w:rPr>
        <w:t>1</w:t>
      </w:r>
      <w:r>
        <w:rPr>
          <w:rFonts w:hint="default" w:ascii="Times New Roman" w:hAnsi="Times New Roman" w:eastAsia="方正仿宋简体" w:cs="Times New Roman"/>
          <w:b/>
          <w:bCs/>
          <w:color w:val="auto"/>
          <w:sz w:val="32"/>
          <w:szCs w:val="32"/>
          <w:lang w:val="zh-CN" w:eastAsia="zh-CN"/>
        </w:rPr>
        <w:t>）数量指标：“残疾人康复服务人数”≧</w:t>
      </w:r>
      <w:r>
        <w:rPr>
          <w:rFonts w:hint="default" w:ascii="Times New Roman" w:hAnsi="Times New Roman" w:eastAsia="方正仿宋简体" w:cs="Times New Roman"/>
          <w:b/>
          <w:bCs/>
          <w:color w:val="auto"/>
          <w:sz w:val="32"/>
          <w:szCs w:val="32"/>
          <w:lang w:val="en-US" w:eastAsia="zh-CN"/>
        </w:rPr>
        <w:t>11075</w:t>
      </w:r>
      <w:r>
        <w:rPr>
          <w:rFonts w:hint="default" w:ascii="Times New Roman" w:hAnsi="Times New Roman" w:eastAsia="方正仿宋简体" w:cs="Times New Roman"/>
          <w:b/>
          <w:bCs/>
          <w:color w:val="auto"/>
          <w:sz w:val="32"/>
          <w:szCs w:val="32"/>
          <w:lang w:val="zh-CN" w:eastAsia="zh-CN"/>
        </w:rPr>
        <w:t>人；“困难重度残疾人家庭无障碍改造惠及人数”≧</w:t>
      </w:r>
      <w:r>
        <w:rPr>
          <w:rFonts w:hint="default" w:ascii="Times New Roman" w:hAnsi="Times New Roman" w:eastAsia="方正仿宋简体" w:cs="Times New Roman"/>
          <w:b/>
          <w:bCs/>
          <w:color w:val="auto"/>
          <w:sz w:val="32"/>
          <w:szCs w:val="32"/>
          <w:lang w:val="en-US" w:eastAsia="zh-CN"/>
        </w:rPr>
        <w:t>646</w:t>
      </w:r>
      <w:r>
        <w:rPr>
          <w:rFonts w:hint="default" w:ascii="Times New Roman" w:hAnsi="Times New Roman" w:eastAsia="方正仿宋简体" w:cs="Times New Roman"/>
          <w:b/>
          <w:bCs/>
          <w:color w:val="auto"/>
          <w:sz w:val="32"/>
          <w:szCs w:val="32"/>
          <w:lang w:val="zh-CN" w:eastAsia="zh-CN"/>
        </w:rPr>
        <w:t>人；</w:t>
      </w:r>
      <w:r>
        <w:rPr>
          <w:rFonts w:hint="default" w:ascii="Times New Roman" w:hAnsi="Times New Roman" w:eastAsia="方正仿宋简体" w:cs="Times New Roman"/>
          <w:b/>
          <w:bCs/>
          <w:color w:val="auto"/>
          <w:sz w:val="32"/>
          <w:szCs w:val="32"/>
          <w:lang w:val="en-US" w:eastAsia="zh-CN"/>
        </w:rPr>
        <w:t>“残</w:t>
      </w:r>
      <w:r>
        <w:rPr>
          <w:rFonts w:hint="default" w:ascii="Times New Roman" w:hAnsi="Times New Roman" w:eastAsia="方正仿宋简体" w:cs="Times New Roman"/>
          <w:b/>
          <w:bCs/>
          <w:color w:val="auto"/>
          <w:sz w:val="32"/>
          <w:szCs w:val="32"/>
          <w:lang w:val="zh-CN" w:eastAsia="zh-CN"/>
        </w:rPr>
        <w:t>疾人之家建设个数”≧</w:t>
      </w:r>
      <w:r>
        <w:rPr>
          <w:rFonts w:hint="default" w:ascii="Times New Roman" w:hAnsi="Times New Roman" w:eastAsia="方正仿宋简体" w:cs="Times New Roman"/>
          <w:b/>
          <w:bCs/>
          <w:color w:val="auto"/>
          <w:sz w:val="32"/>
          <w:szCs w:val="32"/>
          <w:lang w:val="en-US" w:eastAsia="zh-CN"/>
        </w:rPr>
        <w:t>3</w:t>
      </w:r>
      <w:r>
        <w:rPr>
          <w:rFonts w:hint="default" w:ascii="Times New Roman" w:hAnsi="Times New Roman" w:eastAsia="方正仿宋简体" w:cs="Times New Roman"/>
          <w:b/>
          <w:bCs/>
          <w:color w:val="auto"/>
          <w:sz w:val="32"/>
          <w:szCs w:val="32"/>
          <w:lang w:val="zh-CN" w:eastAsia="zh-CN"/>
        </w:rPr>
        <w:t>个。</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zh-CN" w:eastAsia="zh-CN"/>
        </w:rPr>
        <w:t>（</w:t>
      </w:r>
      <w:r>
        <w:rPr>
          <w:rFonts w:hint="default" w:ascii="Times New Roman" w:hAnsi="Times New Roman" w:eastAsia="方正仿宋简体" w:cs="Times New Roman"/>
          <w:b/>
          <w:bCs/>
          <w:color w:val="auto"/>
          <w:sz w:val="32"/>
          <w:szCs w:val="32"/>
          <w:lang w:val="en-US" w:eastAsia="zh-CN"/>
        </w:rPr>
        <w:t>2</w:t>
      </w:r>
      <w:r>
        <w:rPr>
          <w:rFonts w:hint="default" w:ascii="Times New Roman" w:hAnsi="Times New Roman" w:eastAsia="方正仿宋简体" w:cs="Times New Roman"/>
          <w:b/>
          <w:bCs/>
          <w:color w:val="auto"/>
          <w:sz w:val="32"/>
          <w:szCs w:val="32"/>
          <w:lang w:val="zh-CN" w:eastAsia="zh-CN"/>
        </w:rPr>
        <w:t>）质量指标：“家庭无障碍改造设备产品质量合格率”≧</w:t>
      </w:r>
      <w:r>
        <w:rPr>
          <w:rFonts w:hint="default" w:ascii="Times New Roman" w:hAnsi="Times New Roman" w:eastAsia="方正仿宋简体" w:cs="Times New Roman"/>
          <w:b/>
          <w:bCs/>
          <w:color w:val="auto"/>
          <w:sz w:val="32"/>
          <w:szCs w:val="32"/>
          <w:lang w:val="en-US" w:eastAsia="zh-CN"/>
        </w:rPr>
        <w:t>90%。</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（3）时效指标：设置“项目完成时限”等于2024年。</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（4）社会效益指标：设置“残疾人康复服务水平”有所提高；“有需求残疾儿童得到基本康复服务覆盖率”</w:t>
      </w:r>
      <w:r>
        <w:rPr>
          <w:rFonts w:hint="default" w:ascii="Times New Roman" w:hAnsi="Times New Roman" w:eastAsia="方正仿宋简体" w:cs="Times New Roman"/>
          <w:b/>
          <w:bCs/>
          <w:color w:val="auto"/>
          <w:sz w:val="32"/>
          <w:szCs w:val="32"/>
          <w:lang w:val="zh-CN" w:eastAsia="zh-CN"/>
        </w:rPr>
        <w:t>≧</w:t>
      </w:r>
      <w:r>
        <w:rPr>
          <w:rFonts w:hint="default" w:ascii="Times New Roman" w:hAnsi="Times New Roman" w:eastAsia="方正仿宋简体" w:cs="Times New Roman"/>
          <w:b/>
          <w:bCs/>
          <w:color w:val="auto"/>
          <w:sz w:val="32"/>
          <w:szCs w:val="32"/>
          <w:lang w:val="en-US" w:eastAsia="zh-CN"/>
        </w:rPr>
        <w:t>90%；“关心、理解、支持残疾人的社会氛围”有所提高；“提高残疾人融入社会能力”有所提高；“提高残疾人生活水平”有所提高；“改善残疾人生活状况”有所提高。</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zh-CN" w:eastAsia="zh-CN"/>
        </w:rPr>
      </w:pPr>
      <w:r>
        <w:rPr>
          <w:rFonts w:hint="default" w:ascii="Times New Roman" w:hAnsi="Times New Roman" w:eastAsia="方正仿宋简体" w:cs="Times New Roman"/>
          <w:b/>
          <w:bCs/>
          <w:color w:val="auto"/>
          <w:sz w:val="32"/>
          <w:szCs w:val="32"/>
          <w:lang w:val="en-US" w:eastAsia="zh-CN"/>
        </w:rPr>
        <w:t>3.</w:t>
      </w:r>
      <w:r>
        <w:rPr>
          <w:rFonts w:hint="default" w:ascii="Times New Roman" w:hAnsi="Times New Roman" w:eastAsia="方正仿宋简体" w:cs="Times New Roman"/>
          <w:b/>
          <w:bCs/>
          <w:color w:val="auto"/>
          <w:sz w:val="32"/>
          <w:szCs w:val="32"/>
          <w:lang w:val="zh-CN" w:eastAsia="zh-CN"/>
        </w:rPr>
        <w:t>区级绩效目标设置</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zh-CN" w:eastAsia="zh-CN"/>
        </w:rPr>
      </w:pPr>
      <w:r>
        <w:rPr>
          <w:rFonts w:hint="default" w:ascii="Times New Roman" w:hAnsi="Times New Roman" w:eastAsia="方正仿宋简体" w:cs="Times New Roman"/>
          <w:b/>
          <w:bCs/>
          <w:color w:val="auto"/>
          <w:sz w:val="32"/>
          <w:szCs w:val="32"/>
          <w:lang w:val="zh-CN" w:eastAsia="zh-CN"/>
        </w:rPr>
        <w:t>江阳区、龙马潭区、纳溪区结合本地实际，依据市级资金文件要求，对上述指标进行细化量化，绩效目标设置科学、可衡量、可考核。</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黑体简体" w:cs="Times New Roman"/>
          <w:b/>
          <w:bCs/>
          <w:color w:val="auto"/>
          <w:sz w:val="32"/>
          <w:szCs w:val="32"/>
        </w:rPr>
      </w:pPr>
      <w:r>
        <w:rPr>
          <w:rFonts w:hint="default" w:ascii="Times New Roman" w:hAnsi="Times New Roman" w:eastAsia="方正黑体简体" w:cs="Times New Roman"/>
          <w:b/>
          <w:bCs/>
          <w:color w:val="auto"/>
          <w:sz w:val="32"/>
          <w:szCs w:val="32"/>
        </w:rPr>
        <w:t>二、评价实施</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楷体简体" w:cs="Times New Roman"/>
          <w:b/>
          <w:bCs/>
          <w:color w:val="auto"/>
          <w:sz w:val="32"/>
          <w:szCs w:val="32"/>
        </w:rPr>
      </w:pPr>
      <w:r>
        <w:rPr>
          <w:rFonts w:hint="default" w:ascii="Times New Roman" w:hAnsi="Times New Roman" w:eastAsia="方正楷体简体" w:cs="Times New Roman"/>
          <w:b/>
          <w:bCs/>
          <w:color w:val="auto"/>
          <w:sz w:val="32"/>
          <w:szCs w:val="32"/>
        </w:rPr>
        <w:t>（一）评价目的​​</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eastAsia="zh-CN"/>
        </w:rPr>
      </w:pPr>
      <w:r>
        <w:rPr>
          <w:rFonts w:hint="default" w:ascii="Times New Roman" w:hAnsi="Times New Roman" w:eastAsia="方正仿宋简体" w:cs="Times New Roman"/>
          <w:b/>
          <w:bCs/>
          <w:color w:val="auto"/>
          <w:sz w:val="32"/>
          <w:szCs w:val="32"/>
          <w:lang w:eastAsia="zh-CN"/>
        </w:rPr>
        <w:t>按照项目决策、项目实施、项目绩效三类一级指标，对资金支出行为过程及其效果进行综合评价和判断。评价资金使用的科学性、合理性和有效性，分析存在的问题，提出完善资金管理的制度机制、提升资金使用效益的相关建议，为以后年度预算编制提供参考依据，促进资金使用绩效提高。</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楷体简体" w:cs="Times New Roman"/>
          <w:b/>
          <w:bCs/>
          <w:color w:val="auto"/>
          <w:sz w:val="32"/>
          <w:szCs w:val="32"/>
        </w:rPr>
        <w:t>（二）预设问题及评价重点​</w:t>
      </w:r>
      <w:r>
        <w:rPr>
          <w:rFonts w:hint="default" w:ascii="Times New Roman" w:hAnsi="Times New Roman" w:eastAsia="方正仿宋简体" w:cs="Times New Roman"/>
          <w:b/>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评价聚焦</w:t>
      </w:r>
      <w:r>
        <w:rPr>
          <w:rFonts w:hint="default" w:ascii="Times New Roman" w:hAnsi="Times New Roman" w:eastAsia="方正仿宋简体" w:cs="Times New Roman"/>
          <w:b/>
          <w:bCs/>
          <w:color w:val="auto"/>
          <w:sz w:val="32"/>
          <w:szCs w:val="32"/>
          <w:lang w:eastAsia="zh-CN"/>
        </w:rPr>
        <w:t>四个重点方面</w:t>
      </w:r>
      <w:r>
        <w:rPr>
          <w:rFonts w:hint="default" w:ascii="Times New Roman" w:hAnsi="Times New Roman" w:eastAsia="方正仿宋简体" w:cs="Times New Roman"/>
          <w:b/>
          <w:bCs/>
          <w:color w:val="auto"/>
          <w:sz w:val="32"/>
          <w:szCs w:val="32"/>
        </w:rPr>
        <w:t>：资金分配是否体现需求导向、绩效目标是否可量化考核、实施过程是否规范可控、项目效益是否真实可感。预设问题包括绩效目标虚化、验收执行走样、资源配置错位等潜在风险。</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楷体简体" w:cs="Times New Roman"/>
          <w:b/>
          <w:bCs/>
          <w:color w:val="auto"/>
          <w:sz w:val="32"/>
          <w:szCs w:val="32"/>
        </w:rPr>
      </w:pPr>
      <w:r>
        <w:rPr>
          <w:rFonts w:hint="default" w:ascii="Times New Roman" w:hAnsi="Times New Roman" w:eastAsia="方正楷体简体" w:cs="Times New Roman"/>
          <w:b/>
          <w:bCs/>
          <w:color w:val="auto"/>
          <w:sz w:val="32"/>
          <w:szCs w:val="32"/>
        </w:rPr>
        <w:t>（三）评价选点​​</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严格遵循抽样规范，对</w:t>
      </w:r>
      <w:r>
        <w:rPr>
          <w:rFonts w:hint="default" w:ascii="Times New Roman" w:hAnsi="Times New Roman" w:eastAsia="方正仿宋简体" w:cs="Times New Roman"/>
          <w:b/>
          <w:bCs/>
          <w:color w:val="auto"/>
          <w:sz w:val="32"/>
          <w:szCs w:val="32"/>
          <w:lang w:eastAsia="zh-CN"/>
        </w:rPr>
        <w:t>江阳区、龙马潭区、纳溪区</w:t>
      </w:r>
      <w:r>
        <w:rPr>
          <w:rFonts w:hint="default" w:ascii="Times New Roman" w:hAnsi="Times New Roman" w:eastAsia="方正仿宋简体" w:cs="Times New Roman"/>
          <w:b/>
          <w:bCs/>
          <w:color w:val="auto"/>
          <w:sz w:val="32"/>
          <w:szCs w:val="32"/>
        </w:rPr>
        <w:t>实现100%覆盖实地核查。重点</w:t>
      </w:r>
      <w:r>
        <w:rPr>
          <w:rFonts w:hint="default" w:ascii="Times New Roman" w:hAnsi="Times New Roman" w:eastAsia="方正仿宋简体" w:cs="Times New Roman"/>
          <w:b/>
          <w:bCs/>
          <w:color w:val="auto"/>
          <w:sz w:val="32"/>
          <w:szCs w:val="32"/>
          <w:lang w:eastAsia="zh-CN"/>
        </w:rPr>
        <w:t>检查了三区项目管理档案、财务等资料，并对项目经办人开展问询调查，重点</w:t>
      </w:r>
      <w:r>
        <w:rPr>
          <w:rFonts w:hint="default" w:ascii="Times New Roman" w:hAnsi="Times New Roman" w:eastAsia="方正仿宋简体" w:cs="Times New Roman"/>
          <w:b/>
          <w:bCs/>
          <w:color w:val="auto"/>
          <w:sz w:val="32"/>
          <w:szCs w:val="32"/>
        </w:rPr>
        <w:t>踏勘江阳区大山坪街道刺园路（</w:t>
      </w:r>
      <w:r>
        <w:rPr>
          <w:rFonts w:hint="default" w:ascii="Times New Roman" w:hAnsi="Times New Roman" w:eastAsia="方正仿宋简体" w:cs="Times New Roman"/>
          <w:b/>
          <w:bCs/>
          <w:color w:val="auto"/>
          <w:sz w:val="32"/>
          <w:szCs w:val="32"/>
          <w:lang w:eastAsia="zh-CN"/>
        </w:rPr>
        <w:t>辅具适配</w:t>
      </w:r>
      <w:r>
        <w:rPr>
          <w:rFonts w:hint="default" w:ascii="Times New Roman" w:hAnsi="Times New Roman" w:eastAsia="方正仿宋简体" w:cs="Times New Roman"/>
          <w:b/>
          <w:bCs/>
          <w:color w:val="auto"/>
          <w:sz w:val="32"/>
          <w:szCs w:val="32"/>
        </w:rPr>
        <w:t>）、江阳区茜草金沙路</w:t>
      </w:r>
      <w:r>
        <w:rPr>
          <w:rFonts w:hint="default" w:ascii="Times New Roman" w:hAnsi="Times New Roman" w:eastAsia="方正仿宋简体" w:cs="Times New Roman"/>
          <w:b/>
          <w:bCs/>
          <w:color w:val="auto"/>
          <w:sz w:val="32"/>
          <w:szCs w:val="32"/>
          <w:lang w:eastAsia="zh-CN"/>
        </w:rPr>
        <w:t>（家庭</w:t>
      </w:r>
      <w:r>
        <w:rPr>
          <w:rFonts w:hint="default" w:ascii="Times New Roman" w:hAnsi="Times New Roman" w:eastAsia="方正仿宋简体" w:cs="Times New Roman"/>
          <w:b/>
          <w:bCs/>
          <w:color w:val="auto"/>
          <w:sz w:val="32"/>
          <w:szCs w:val="32"/>
        </w:rPr>
        <w:t>无障碍改造</w:t>
      </w:r>
      <w:r>
        <w:rPr>
          <w:rFonts w:hint="default" w:ascii="Times New Roman" w:hAnsi="Times New Roman" w:eastAsia="方正仿宋简体" w:cs="Times New Roman"/>
          <w:b/>
          <w:bCs/>
          <w:color w:val="auto"/>
          <w:sz w:val="32"/>
          <w:szCs w:val="32"/>
          <w:lang w:eastAsia="zh-CN"/>
        </w:rPr>
        <w:t>）、泸州市江阳区蓝田街道残疾人之家（益康社会工作评估与研究中心）</w:t>
      </w:r>
      <w:r>
        <w:rPr>
          <w:rFonts w:hint="default" w:ascii="Times New Roman" w:hAnsi="Times New Roman" w:eastAsia="方正仿宋简体" w:cs="Times New Roman"/>
          <w:b/>
          <w:bCs/>
          <w:color w:val="auto"/>
          <w:sz w:val="32"/>
          <w:szCs w:val="32"/>
        </w:rPr>
        <w:t>；龙马潭区</w:t>
      </w:r>
      <w:r>
        <w:rPr>
          <w:rFonts w:hint="default" w:ascii="Times New Roman" w:hAnsi="Times New Roman" w:eastAsia="方正仿宋简体" w:cs="Times New Roman"/>
          <w:b/>
          <w:bCs/>
          <w:color w:val="auto"/>
          <w:sz w:val="32"/>
          <w:szCs w:val="32"/>
          <w:lang w:eastAsia="zh-CN"/>
        </w:rPr>
        <w:t>红星街道</w:t>
      </w:r>
      <w:r>
        <w:rPr>
          <w:rFonts w:hint="default" w:ascii="Times New Roman" w:hAnsi="Times New Roman" w:eastAsia="方正仿宋简体" w:cs="Times New Roman"/>
          <w:b/>
          <w:bCs/>
          <w:color w:val="auto"/>
          <w:sz w:val="32"/>
          <w:szCs w:val="32"/>
        </w:rPr>
        <w:t>红星路（</w:t>
      </w:r>
      <w:r>
        <w:rPr>
          <w:rFonts w:hint="default" w:ascii="Times New Roman" w:hAnsi="Times New Roman" w:eastAsia="方正仿宋简体" w:cs="Times New Roman"/>
          <w:b/>
          <w:bCs/>
          <w:color w:val="auto"/>
          <w:sz w:val="32"/>
          <w:szCs w:val="32"/>
          <w:lang w:eastAsia="zh-CN"/>
        </w:rPr>
        <w:t>辅具适配</w:t>
      </w:r>
      <w:r>
        <w:rPr>
          <w:rFonts w:hint="default" w:ascii="Times New Roman" w:hAnsi="Times New Roman" w:eastAsia="方正仿宋简体" w:cs="Times New Roman"/>
          <w:b/>
          <w:bCs/>
          <w:color w:val="auto"/>
          <w:sz w:val="32"/>
          <w:szCs w:val="32"/>
        </w:rPr>
        <w:t>）</w:t>
      </w:r>
      <w:r>
        <w:rPr>
          <w:rFonts w:hint="default" w:ascii="Times New Roman" w:hAnsi="Times New Roman" w:eastAsia="方正仿宋简体" w:cs="Times New Roman"/>
          <w:b/>
          <w:bCs/>
          <w:color w:val="auto"/>
          <w:sz w:val="32"/>
          <w:szCs w:val="32"/>
          <w:lang w:eastAsia="zh-CN"/>
        </w:rPr>
        <w:t>、红星街道天立社区（家庭</w:t>
      </w:r>
      <w:r>
        <w:rPr>
          <w:rFonts w:hint="default" w:ascii="Times New Roman" w:hAnsi="Times New Roman" w:eastAsia="方正仿宋简体" w:cs="Times New Roman"/>
          <w:b/>
          <w:bCs/>
          <w:color w:val="auto"/>
          <w:sz w:val="32"/>
          <w:szCs w:val="32"/>
        </w:rPr>
        <w:t>无障碍改造</w:t>
      </w:r>
      <w:r>
        <w:rPr>
          <w:rFonts w:hint="default" w:ascii="Times New Roman" w:hAnsi="Times New Roman" w:eastAsia="方正仿宋简体" w:cs="Times New Roman"/>
          <w:b/>
          <w:bCs/>
          <w:color w:val="auto"/>
          <w:sz w:val="32"/>
          <w:szCs w:val="32"/>
          <w:lang w:eastAsia="zh-CN"/>
        </w:rPr>
        <w:t>）、红星社区残疾人之家</w:t>
      </w:r>
      <w:r>
        <w:rPr>
          <w:rFonts w:hint="default" w:ascii="Times New Roman" w:hAnsi="Times New Roman" w:eastAsia="方正仿宋简体" w:cs="Times New Roman"/>
          <w:b/>
          <w:bCs/>
          <w:color w:val="auto"/>
          <w:sz w:val="32"/>
          <w:szCs w:val="32"/>
        </w:rPr>
        <w:t>；纳溪区</w:t>
      </w:r>
      <w:r>
        <w:rPr>
          <w:rFonts w:hint="default" w:ascii="Times New Roman" w:hAnsi="Times New Roman" w:eastAsia="方正仿宋简体" w:cs="Times New Roman"/>
          <w:b/>
          <w:bCs/>
          <w:color w:val="auto"/>
          <w:sz w:val="32"/>
          <w:szCs w:val="32"/>
          <w:lang w:eastAsia="zh-CN"/>
        </w:rPr>
        <w:t>安富街道</w:t>
      </w:r>
      <w:r>
        <w:rPr>
          <w:rFonts w:hint="default" w:ascii="Times New Roman" w:hAnsi="Times New Roman" w:eastAsia="方正仿宋简体" w:cs="Times New Roman"/>
          <w:b/>
          <w:bCs/>
          <w:color w:val="auto"/>
          <w:sz w:val="32"/>
          <w:szCs w:val="32"/>
        </w:rPr>
        <w:t>（</w:t>
      </w:r>
      <w:r>
        <w:rPr>
          <w:rFonts w:hint="default" w:ascii="Times New Roman" w:hAnsi="Times New Roman" w:eastAsia="方正仿宋简体" w:cs="Times New Roman"/>
          <w:b/>
          <w:bCs/>
          <w:color w:val="auto"/>
          <w:sz w:val="32"/>
          <w:szCs w:val="32"/>
          <w:lang w:eastAsia="zh-CN"/>
        </w:rPr>
        <w:t>家庭</w:t>
      </w:r>
      <w:r>
        <w:rPr>
          <w:rFonts w:hint="default" w:ascii="Times New Roman" w:hAnsi="Times New Roman" w:eastAsia="方正仿宋简体" w:cs="Times New Roman"/>
          <w:b/>
          <w:bCs/>
          <w:color w:val="auto"/>
          <w:sz w:val="32"/>
          <w:szCs w:val="32"/>
        </w:rPr>
        <w:t>无障碍改造</w:t>
      </w:r>
      <w:r>
        <w:rPr>
          <w:rFonts w:hint="default" w:ascii="Times New Roman" w:hAnsi="Times New Roman" w:eastAsia="方正仿宋简体" w:cs="Times New Roman"/>
          <w:b/>
          <w:bCs/>
          <w:color w:val="auto"/>
          <w:sz w:val="32"/>
          <w:szCs w:val="32"/>
          <w:lang w:eastAsia="zh-CN"/>
        </w:rPr>
        <w:t>、辅具适配</w:t>
      </w:r>
      <w:r>
        <w:rPr>
          <w:rFonts w:hint="default" w:ascii="Times New Roman" w:hAnsi="Times New Roman" w:eastAsia="方正仿宋简体" w:cs="Times New Roman"/>
          <w:b/>
          <w:bCs/>
          <w:color w:val="auto"/>
          <w:sz w:val="32"/>
          <w:szCs w:val="32"/>
        </w:rPr>
        <w:t>），共计走访</w:t>
      </w:r>
      <w:r>
        <w:rPr>
          <w:rFonts w:hint="default" w:ascii="Times New Roman" w:hAnsi="Times New Roman" w:eastAsia="方正仿宋简体" w:cs="Times New Roman"/>
          <w:b/>
          <w:bCs/>
          <w:color w:val="auto"/>
          <w:sz w:val="32"/>
          <w:szCs w:val="32"/>
          <w:lang w:val="en-US" w:eastAsia="zh-CN"/>
        </w:rPr>
        <w:t>8</w:t>
      </w:r>
      <w:r>
        <w:rPr>
          <w:rFonts w:hint="default" w:ascii="Times New Roman" w:hAnsi="Times New Roman" w:eastAsia="方正仿宋简体" w:cs="Times New Roman"/>
          <w:b/>
          <w:bCs/>
          <w:color w:val="auto"/>
          <w:sz w:val="32"/>
          <w:szCs w:val="32"/>
        </w:rPr>
        <w:t>户残疾人家庭及</w:t>
      </w:r>
      <w:r>
        <w:rPr>
          <w:rFonts w:hint="default" w:ascii="Times New Roman" w:hAnsi="Times New Roman" w:eastAsia="方正仿宋简体" w:cs="Times New Roman"/>
          <w:b/>
          <w:bCs/>
          <w:color w:val="auto"/>
          <w:sz w:val="32"/>
          <w:szCs w:val="32"/>
          <w:lang w:val="en-US" w:eastAsia="zh-CN"/>
        </w:rPr>
        <w:t>2</w:t>
      </w:r>
      <w:r>
        <w:rPr>
          <w:rFonts w:hint="default" w:ascii="Times New Roman" w:hAnsi="Times New Roman" w:eastAsia="方正仿宋简体" w:cs="Times New Roman"/>
          <w:b/>
          <w:bCs/>
          <w:color w:val="auto"/>
          <w:sz w:val="32"/>
          <w:szCs w:val="32"/>
        </w:rPr>
        <w:t>个服务机构。</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楷体简体" w:cs="Times New Roman"/>
          <w:b/>
          <w:bCs/>
          <w:color w:val="auto"/>
          <w:sz w:val="32"/>
          <w:szCs w:val="32"/>
        </w:rPr>
      </w:pPr>
      <w:r>
        <w:rPr>
          <w:rFonts w:hint="default" w:ascii="Times New Roman" w:hAnsi="Times New Roman" w:eastAsia="方正楷体简体" w:cs="Times New Roman"/>
          <w:b/>
          <w:bCs/>
          <w:color w:val="auto"/>
          <w:sz w:val="32"/>
          <w:szCs w:val="32"/>
        </w:rPr>
        <w:t>（四）评价方法​​</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楷体简体" w:cs="Times New Roman"/>
          <w:b/>
          <w:bCs/>
          <w:color w:val="auto"/>
          <w:sz w:val="32"/>
          <w:szCs w:val="32"/>
        </w:rPr>
      </w:pPr>
      <w:r>
        <w:rPr>
          <w:rFonts w:hint="default" w:ascii="Times New Roman" w:hAnsi="Times New Roman" w:eastAsia="方正仿宋简体" w:cs="Times New Roman"/>
          <w:b/>
          <w:bCs/>
          <w:color w:val="auto"/>
          <w:sz w:val="32"/>
          <w:szCs w:val="32"/>
        </w:rPr>
        <w:t>根据《泸州市财政局关于开展2025年财政重点绩效评价工作的通知》（泸市财绩〔2025〕5号）要求，本次绩效评价实行“区县全面自评+市级现场评价”联动机制，按“区县自评—现场评价—报告撰写—整改落实”四阶段推进。市残联印发</w:t>
      </w:r>
      <w:r>
        <w:rPr>
          <w:rFonts w:hint="default" w:ascii="Times New Roman" w:hAnsi="Times New Roman" w:eastAsia="方正仿宋简体" w:cs="Times New Roman"/>
          <w:b/>
          <w:bCs/>
          <w:color w:val="auto"/>
          <w:sz w:val="32"/>
          <w:szCs w:val="32"/>
          <w:lang w:eastAsia="zh-CN"/>
        </w:rPr>
        <w:t>了</w:t>
      </w:r>
      <w:r>
        <w:rPr>
          <w:rFonts w:hint="default" w:ascii="Times New Roman" w:hAnsi="Times New Roman" w:eastAsia="方正仿宋简体" w:cs="Times New Roman"/>
          <w:b/>
          <w:bCs/>
          <w:color w:val="auto"/>
          <w:sz w:val="32"/>
          <w:szCs w:val="32"/>
        </w:rPr>
        <w:t>《泸州市2024年残疾人事业发展市级财政补助资金项目绩效评价工作实施方案》，配套制定《项目绩效评价指标体系》，</w:t>
      </w:r>
      <w:r>
        <w:rPr>
          <w:rFonts w:hint="default" w:ascii="Times New Roman" w:hAnsi="Times New Roman" w:eastAsia="方正仿宋简体" w:cs="Times New Roman"/>
          <w:b/>
          <w:bCs/>
          <w:color w:val="auto"/>
          <w:sz w:val="32"/>
          <w:szCs w:val="32"/>
          <w:lang w:eastAsia="zh-CN"/>
        </w:rPr>
        <w:t>并</w:t>
      </w:r>
      <w:r>
        <w:rPr>
          <w:rFonts w:hint="default" w:ascii="Times New Roman" w:hAnsi="Times New Roman" w:eastAsia="方正仿宋简体" w:cs="Times New Roman"/>
          <w:b/>
          <w:bCs/>
          <w:color w:val="auto"/>
          <w:sz w:val="32"/>
          <w:szCs w:val="32"/>
        </w:rPr>
        <w:t>指导江阳区、龙马潭区、纳溪区完成自评打分并提交自评报告；随后组建现场评价工作组，通过实地踏勘、问卷调查等方式开展现场评价。评价结果由办公室汇总，经定量与定性分析、复核及意见交换后，形成最终绩效评价报告。</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楷体简体" w:cs="Times New Roman"/>
          <w:b/>
          <w:bCs/>
          <w:color w:val="auto"/>
          <w:sz w:val="32"/>
          <w:szCs w:val="32"/>
        </w:rPr>
      </w:pPr>
      <w:r>
        <w:rPr>
          <w:rFonts w:hint="default" w:ascii="Times New Roman" w:hAnsi="Times New Roman" w:eastAsia="方正楷体简体" w:cs="Times New Roman"/>
          <w:b/>
          <w:bCs/>
          <w:color w:val="auto"/>
          <w:sz w:val="32"/>
          <w:szCs w:val="32"/>
        </w:rPr>
        <w:t>（五）评价组织​​</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市残联组建残疾人事业发展市级补助资金项目绩效评价专项工作组，由市残联分管财务工作领导为组长，各科室负责人任副组长，成员由各科室具体负责项目经办人员、财务人员及纪检组成员组成。市残联办公室负责实施绩效考评的各项具体工作，制定实施方案，组织开展各项工作，汇总和上报绩效评价结果。</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评价小组根据职责进行分工，办公室主要检查市级补助资金预算下达、项目分配、执行进度及财务管理情况，各业务科室主要检查市级补助资金涉及项目在决策、实施、完成结果、效果等方面的情况。市残联纪检组根据工作需要随机开展现场评价抽查，对评价纪律性、过程规范性、数据真实性、资料准确性等相关情况进行监督核查。</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黑体简体" w:cs="Times New Roman"/>
          <w:b/>
          <w:bCs/>
          <w:color w:val="auto"/>
          <w:sz w:val="32"/>
          <w:szCs w:val="32"/>
        </w:rPr>
      </w:pPr>
      <w:r>
        <w:rPr>
          <w:rFonts w:hint="default" w:ascii="Times New Roman" w:hAnsi="Times New Roman" w:eastAsia="方正黑体简体" w:cs="Times New Roman"/>
          <w:b/>
          <w:bCs/>
          <w:color w:val="auto"/>
          <w:sz w:val="32"/>
          <w:szCs w:val="32"/>
        </w:rPr>
        <w:t>三、绩效分析</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楷体简体" w:cs="Times New Roman"/>
          <w:b/>
          <w:bCs/>
          <w:color w:val="auto"/>
          <w:sz w:val="32"/>
          <w:szCs w:val="32"/>
        </w:rPr>
      </w:pPr>
      <w:r>
        <w:rPr>
          <w:rFonts w:hint="default" w:ascii="Times New Roman" w:hAnsi="Times New Roman" w:eastAsia="方正楷体简体" w:cs="Times New Roman"/>
          <w:b/>
          <w:bCs/>
          <w:color w:val="auto"/>
          <w:sz w:val="32"/>
          <w:szCs w:val="32"/>
        </w:rPr>
        <w:t>（一）通用指标绩效分析​​</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eastAsia="zh-CN"/>
        </w:rPr>
      </w:pPr>
      <w:r>
        <w:rPr>
          <w:rFonts w:hint="default" w:ascii="Times New Roman" w:hAnsi="Times New Roman" w:eastAsia="方正仿宋简体" w:cs="Times New Roman"/>
          <w:b/>
          <w:bCs/>
          <w:color w:val="auto"/>
          <w:sz w:val="32"/>
          <w:szCs w:val="32"/>
          <w:lang w:val="en-US" w:eastAsia="zh-CN"/>
        </w:rPr>
        <w:t>1.</w:t>
      </w:r>
      <w:r>
        <w:rPr>
          <w:rFonts w:hint="default" w:ascii="Times New Roman" w:hAnsi="Times New Roman" w:eastAsia="方正仿宋简体" w:cs="Times New Roman"/>
          <w:b/>
          <w:bCs/>
          <w:color w:val="auto"/>
          <w:sz w:val="32"/>
          <w:szCs w:val="32"/>
        </w:rPr>
        <w:t>项目决策</w:t>
      </w:r>
      <w:r>
        <w:rPr>
          <w:rFonts w:hint="default" w:ascii="Times New Roman" w:hAnsi="Times New Roman" w:eastAsia="方正仿宋简体" w:cs="Times New Roman"/>
          <w:b/>
          <w:bCs/>
          <w:color w:val="auto"/>
          <w:sz w:val="32"/>
          <w:szCs w:val="32"/>
          <w:lang w:eastAsia="zh-CN"/>
        </w:rPr>
        <w:t>。项目</w:t>
      </w:r>
      <w:r>
        <w:rPr>
          <w:rFonts w:hint="default" w:ascii="Times New Roman" w:hAnsi="Times New Roman" w:eastAsia="方正仿宋简体" w:cs="Times New Roman"/>
          <w:b/>
          <w:bCs/>
          <w:color w:val="auto"/>
          <w:sz w:val="32"/>
          <w:szCs w:val="32"/>
        </w:rPr>
        <w:t>严格执行《</w:t>
      </w:r>
      <w:r>
        <w:rPr>
          <w:rFonts w:hint="default" w:ascii="Times New Roman" w:hAnsi="Times New Roman" w:eastAsia="方正仿宋简体" w:cs="Times New Roman"/>
          <w:b/>
          <w:bCs/>
          <w:color w:val="auto"/>
          <w:sz w:val="32"/>
          <w:szCs w:val="32"/>
          <w:lang w:eastAsia="zh-CN"/>
        </w:rPr>
        <w:t>四川省残疾人联合会</w:t>
      </w:r>
      <w:r>
        <w:rPr>
          <w:rFonts w:hint="default" w:ascii="Times New Roman" w:hAnsi="Times New Roman" w:eastAsia="方正仿宋简体" w:cs="Times New Roman"/>
          <w:b/>
          <w:bCs/>
          <w:color w:val="auto"/>
          <w:sz w:val="32"/>
          <w:szCs w:val="32"/>
        </w:rPr>
        <w:t>关于做好2024年中央和省级财政残疾人事业发展补助资金项目绩效管理工作的通知》</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川残办〔2024〕24号</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lang w:val="en-US" w:eastAsia="zh-CN"/>
        </w:rPr>
        <w:t>四川省残疾人联合会</w:t>
      </w:r>
      <w:r>
        <w:rPr>
          <w:rFonts w:hint="default" w:ascii="Times New Roman" w:hAnsi="Times New Roman" w:eastAsia="方正仿宋简体" w:cs="Times New Roman"/>
          <w:b/>
          <w:bCs/>
          <w:color w:val="auto"/>
          <w:sz w:val="32"/>
          <w:szCs w:val="32"/>
          <w:lang w:eastAsia="zh-CN"/>
        </w:rPr>
        <w:t>关于印发〈四川省2024年困难重度残疾人家庭无障碍改造项目实施方案〉的通知》要求，联合市财政局印发了</w:t>
      </w:r>
      <w:r>
        <w:rPr>
          <w:rFonts w:hint="default" w:ascii="Times New Roman" w:hAnsi="Times New Roman" w:eastAsia="方正仿宋简体" w:cs="Times New Roman"/>
          <w:b/>
          <w:bCs/>
          <w:color w:val="auto"/>
          <w:sz w:val="32"/>
          <w:szCs w:val="32"/>
        </w:rPr>
        <w:t>市级资金分配</w:t>
      </w:r>
      <w:r>
        <w:rPr>
          <w:rFonts w:hint="default" w:ascii="Times New Roman" w:hAnsi="Times New Roman" w:eastAsia="方正仿宋简体" w:cs="Times New Roman"/>
          <w:b/>
          <w:bCs/>
          <w:color w:val="auto"/>
          <w:sz w:val="32"/>
          <w:szCs w:val="32"/>
          <w:lang w:eastAsia="zh-CN"/>
        </w:rPr>
        <w:t>文件，</w:t>
      </w:r>
      <w:r>
        <w:rPr>
          <w:rFonts w:hint="default" w:ascii="Times New Roman" w:hAnsi="Times New Roman" w:eastAsia="方正仿宋简体" w:cs="Times New Roman"/>
          <w:b/>
          <w:bCs/>
          <w:color w:val="auto"/>
          <w:sz w:val="32"/>
          <w:szCs w:val="32"/>
        </w:rPr>
        <w:t>立项依据充分、审批链条完整。规划论证环节，项目整体方案与</w:t>
      </w:r>
      <w:r>
        <w:rPr>
          <w:rFonts w:hint="default" w:ascii="Times New Roman" w:hAnsi="Times New Roman" w:eastAsia="方正仿宋简体" w:cs="Times New Roman"/>
          <w:b/>
          <w:bCs/>
          <w:color w:val="auto"/>
          <w:sz w:val="32"/>
          <w:szCs w:val="32"/>
          <w:lang w:eastAsia="zh-CN"/>
        </w:rPr>
        <w:t>中央、</w:t>
      </w:r>
      <w:r>
        <w:rPr>
          <w:rFonts w:hint="default" w:ascii="Times New Roman" w:hAnsi="Times New Roman" w:eastAsia="方正仿宋简体" w:cs="Times New Roman"/>
          <w:b/>
          <w:bCs/>
          <w:color w:val="auto"/>
          <w:sz w:val="32"/>
          <w:szCs w:val="32"/>
        </w:rPr>
        <w:t>省级残疾人事业发展部署保持一致</w:t>
      </w:r>
      <w:r>
        <w:rPr>
          <w:rFonts w:hint="default" w:ascii="Times New Roman" w:hAnsi="Times New Roman" w:eastAsia="方正仿宋简体" w:cs="Times New Roman"/>
          <w:b/>
          <w:bCs/>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val="en-US" w:eastAsia="zh-CN"/>
        </w:rPr>
        <w:t>2.</w:t>
      </w:r>
      <w:r>
        <w:rPr>
          <w:rFonts w:hint="default" w:ascii="Times New Roman" w:hAnsi="Times New Roman" w:eastAsia="方正仿宋简体" w:cs="Times New Roman"/>
          <w:b/>
          <w:bCs/>
          <w:color w:val="auto"/>
          <w:sz w:val="32"/>
          <w:szCs w:val="32"/>
        </w:rPr>
        <w:t>项目</w:t>
      </w:r>
      <w:r>
        <w:rPr>
          <w:rFonts w:hint="default" w:ascii="Times New Roman" w:hAnsi="Times New Roman" w:eastAsia="方正仿宋简体" w:cs="Times New Roman"/>
          <w:b/>
          <w:bCs/>
          <w:color w:val="auto"/>
          <w:sz w:val="32"/>
          <w:szCs w:val="32"/>
          <w:lang w:eastAsia="zh-CN"/>
        </w:rPr>
        <w:t>管理。</w:t>
      </w:r>
      <w:r>
        <w:rPr>
          <w:rFonts w:hint="default" w:ascii="Times New Roman" w:hAnsi="Times New Roman" w:eastAsia="方正仿宋简体" w:cs="Times New Roman"/>
          <w:b/>
          <w:bCs/>
          <w:color w:val="auto"/>
          <w:sz w:val="32"/>
          <w:szCs w:val="32"/>
        </w:rPr>
        <w:t>实施过程中，预算编制已纳入年度计划框架，但目标设定与资金规模匹配度</w:t>
      </w:r>
      <w:r>
        <w:rPr>
          <w:rFonts w:hint="default" w:ascii="Times New Roman" w:hAnsi="Times New Roman" w:eastAsia="方正仿宋简体" w:cs="Times New Roman"/>
          <w:b/>
          <w:bCs/>
          <w:color w:val="auto"/>
          <w:sz w:val="32"/>
          <w:szCs w:val="32"/>
          <w:lang w:eastAsia="zh-CN"/>
        </w:rPr>
        <w:t>高</w:t>
      </w:r>
      <w:r>
        <w:rPr>
          <w:rFonts w:hint="default" w:ascii="Times New Roman" w:hAnsi="Times New Roman" w:eastAsia="方正仿宋简体" w:cs="Times New Roman"/>
          <w:b/>
          <w:bCs/>
          <w:color w:val="auto"/>
          <w:sz w:val="32"/>
          <w:szCs w:val="32"/>
        </w:rPr>
        <w:t>；资金分配</w:t>
      </w:r>
      <w:r>
        <w:rPr>
          <w:rFonts w:hint="default" w:ascii="Times New Roman" w:hAnsi="Times New Roman" w:eastAsia="方正仿宋简体" w:cs="Times New Roman"/>
          <w:b/>
          <w:bCs/>
          <w:color w:val="auto"/>
          <w:sz w:val="32"/>
          <w:szCs w:val="32"/>
          <w:lang w:eastAsia="zh-CN"/>
        </w:rPr>
        <w:t>按照“因素分配法”，有依据，公平合理</w:t>
      </w:r>
      <w:r>
        <w:rPr>
          <w:rFonts w:hint="default" w:ascii="Times New Roman" w:hAnsi="Times New Roman" w:eastAsia="方正仿宋简体" w:cs="Times New Roman"/>
          <w:b/>
          <w:bCs/>
          <w:color w:val="auto"/>
          <w:sz w:val="32"/>
          <w:szCs w:val="32"/>
        </w:rPr>
        <w:t>。资金使用合规性较好，未见截留挪用现象，但执行有效性受多重因素制约</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市级层面</w:t>
      </w:r>
      <w:r>
        <w:rPr>
          <w:rFonts w:hint="default" w:ascii="Times New Roman" w:hAnsi="Times New Roman" w:eastAsia="方正仿宋简体" w:cs="Times New Roman"/>
          <w:b/>
          <w:bCs/>
          <w:color w:val="auto"/>
          <w:sz w:val="32"/>
          <w:szCs w:val="32"/>
          <w:lang w:eastAsia="zh-CN"/>
        </w:rPr>
        <w:t>按照项目管理“五个一”工作机制，制定了《关于做好2024年残疾人事业发展补助资金项目绩效管理工作的通知》，</w:t>
      </w:r>
      <w:r>
        <w:rPr>
          <w:rFonts w:hint="default" w:ascii="Times New Roman" w:hAnsi="Times New Roman" w:eastAsia="方正仿宋简体" w:cs="Times New Roman"/>
          <w:b/>
          <w:bCs/>
          <w:color w:val="auto"/>
          <w:sz w:val="32"/>
          <w:szCs w:val="32"/>
        </w:rPr>
        <w:t>管理规范健全，但</w:t>
      </w:r>
      <w:r>
        <w:rPr>
          <w:rFonts w:hint="default" w:ascii="Times New Roman" w:hAnsi="Times New Roman" w:eastAsia="方正仿宋简体" w:cs="Times New Roman"/>
          <w:b/>
          <w:bCs/>
          <w:color w:val="auto"/>
          <w:sz w:val="32"/>
          <w:szCs w:val="32"/>
          <w:lang w:eastAsia="zh-CN"/>
        </w:rPr>
        <w:t>部分区县个别项目未制定项目实施方案。</w:t>
      </w:r>
      <w:r>
        <w:rPr>
          <w:rFonts w:hint="default" w:ascii="Times New Roman" w:hAnsi="Times New Roman" w:eastAsia="方正仿宋简体" w:cs="Times New Roman"/>
          <w:b/>
          <w:bCs/>
          <w:color w:val="auto"/>
          <w:sz w:val="32"/>
          <w:szCs w:val="32"/>
          <w:lang w:val="en-US" w:eastAsia="zh-CN"/>
        </w:rPr>
        <w:t>江阳区未制定残疾人基本康复服务、0—6岁残疾儿童康复救助项目实施方案；</w:t>
      </w:r>
      <w:r>
        <w:rPr>
          <w:rFonts w:hint="default" w:ascii="Times New Roman" w:hAnsi="Times New Roman" w:eastAsia="方正仿宋简体" w:cs="Times New Roman"/>
          <w:b/>
          <w:bCs/>
          <w:color w:val="auto"/>
          <w:sz w:val="32"/>
          <w:szCs w:val="32"/>
          <w:lang w:eastAsia="zh-CN"/>
        </w:rPr>
        <w:t>龙马潭区未制定残疾人基本康复服务、辅具适配项目、0—6岁</w:t>
      </w:r>
      <w:r>
        <w:rPr>
          <w:rFonts w:hint="default" w:ascii="Times New Roman" w:hAnsi="Times New Roman" w:eastAsia="方正仿宋简体" w:cs="Times New Roman"/>
          <w:b/>
          <w:bCs/>
          <w:color w:val="auto"/>
          <w:sz w:val="32"/>
          <w:szCs w:val="32"/>
          <w:lang w:val="en-US" w:eastAsia="zh-CN"/>
        </w:rPr>
        <w:t>残疾儿童康复救助项目实施方案。龙马潭区康复服务档案未见心理健康服务完成名单。</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3.项目实施</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（1）资金投入</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2024年，项目资金计划总投入1223.14万元。其中，市级资金420万元。从区县资金情况来看，江阳区501.46万元，龙马潭区332.49万元，纳溪区389.19万元。</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截至2024年12月31日，2024年中、省、市残疾人事业发展补助资金</w:t>
      </w:r>
      <w:r>
        <w:rPr>
          <w:rFonts w:hint="default" w:ascii="Times New Roman" w:hAnsi="Times New Roman" w:eastAsia="方正仿宋简体" w:cs="Times New Roman"/>
          <w:b/>
          <w:bCs/>
          <w:color w:val="auto"/>
          <w:sz w:val="32"/>
          <w:szCs w:val="32"/>
          <w:lang w:val="zh-CN" w:eastAsia="zh-CN"/>
        </w:rPr>
        <w:t>实际到位</w:t>
      </w:r>
      <w:r>
        <w:rPr>
          <w:rFonts w:hint="default" w:ascii="Times New Roman" w:hAnsi="Times New Roman" w:eastAsia="方正仿宋简体" w:cs="Times New Roman"/>
          <w:b/>
          <w:bCs/>
          <w:color w:val="auto"/>
          <w:sz w:val="32"/>
          <w:szCs w:val="32"/>
          <w:lang w:val="en-US" w:eastAsia="zh-CN"/>
        </w:rPr>
        <w:t>1223.14</w:t>
      </w:r>
      <w:r>
        <w:rPr>
          <w:rFonts w:hint="default" w:ascii="Times New Roman" w:hAnsi="Times New Roman" w:eastAsia="方正仿宋简体" w:cs="Times New Roman"/>
          <w:b/>
          <w:bCs/>
          <w:color w:val="auto"/>
          <w:sz w:val="32"/>
          <w:szCs w:val="32"/>
          <w:lang w:val="zh-CN" w:eastAsia="zh-CN"/>
        </w:rPr>
        <w:t>万元，资金到位及时，到位率达100%。</w:t>
      </w:r>
      <w:r>
        <w:rPr>
          <w:rFonts w:hint="default" w:ascii="Times New Roman" w:hAnsi="Times New Roman" w:eastAsia="方正仿宋简体" w:cs="Times New Roman"/>
          <w:b/>
          <w:bCs/>
          <w:color w:val="auto"/>
          <w:sz w:val="32"/>
          <w:szCs w:val="32"/>
          <w:lang w:val="en-US" w:eastAsia="zh-CN"/>
        </w:rPr>
        <w:t>其中：残疾人康复服务项目资金到位831.81万元，其中市级资金172.14万元；困难残疾人家庭无障碍改造项目资金到位241.33万元，其中市级资金97.86万元；残疾人之家建设项目资金150万元，其中市级资金150万元。</w:t>
      </w:r>
    </w:p>
    <w:p>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简体" w:cs="Times New Roman"/>
          <w:b/>
          <w:bCs/>
          <w:color w:val="auto"/>
          <w:kern w:val="0"/>
          <w:sz w:val="32"/>
          <w:szCs w:val="32"/>
          <w:highlight w:val="none"/>
          <w:u w:val="none"/>
          <w:shd w:val="clear" w:color="auto" w:fill="FFFFFF"/>
          <w:lang w:val="en-US" w:eastAsia="zh-CN"/>
        </w:rPr>
      </w:pPr>
      <w:r>
        <w:rPr>
          <w:rFonts w:hint="default" w:ascii="Times New Roman" w:hAnsi="Times New Roman" w:eastAsia="方正黑体简体" w:cs="Times New Roman"/>
          <w:b/>
          <w:bCs/>
          <w:color w:val="auto"/>
          <w:kern w:val="0"/>
          <w:sz w:val="32"/>
          <w:szCs w:val="32"/>
          <w:highlight w:val="none"/>
          <w:u w:val="none"/>
          <w:shd w:val="clear" w:color="auto" w:fill="FFFFFF"/>
          <w:lang w:val="en-US" w:eastAsia="zh-CN"/>
        </w:rPr>
        <w:t>资金分配明细表</w:t>
      </w: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default" w:ascii="Times New Roman" w:hAnsi="Times New Roman" w:eastAsia="方正仿宋简体" w:cs="Times New Roman"/>
          <w:b/>
          <w:bCs/>
          <w:color w:val="auto"/>
          <w:sz w:val="30"/>
          <w:szCs w:val="30"/>
          <w:lang w:val="en-US" w:eastAsia="zh-CN"/>
        </w:rPr>
      </w:pPr>
      <w:r>
        <w:rPr>
          <w:rFonts w:hint="default" w:ascii="Times New Roman" w:hAnsi="Times New Roman" w:eastAsia="方正仿宋简体" w:cs="Times New Roman"/>
          <w:b/>
          <w:bCs/>
          <w:color w:val="auto"/>
          <w:kern w:val="0"/>
          <w:sz w:val="30"/>
          <w:szCs w:val="30"/>
          <w:highlight w:val="none"/>
          <w:u w:val="none"/>
          <w:shd w:val="clear" w:color="auto" w:fill="FFFFFF"/>
          <w:lang w:val="en-US" w:eastAsia="zh-CN"/>
        </w:rPr>
        <w:t>单位：万元</w:t>
      </w:r>
    </w:p>
    <w:tbl>
      <w:tblPr>
        <w:tblStyle w:val="20"/>
        <w:tblW w:w="9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065"/>
        <w:gridCol w:w="930"/>
        <w:gridCol w:w="1007"/>
        <w:gridCol w:w="855"/>
        <w:gridCol w:w="1059"/>
        <w:gridCol w:w="919"/>
        <w:gridCol w:w="97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527"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项目名称</w:t>
            </w:r>
          </w:p>
        </w:tc>
        <w:tc>
          <w:tcPr>
            <w:tcW w:w="1065"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 xml:space="preserve">项目   总资金 </w:t>
            </w:r>
          </w:p>
        </w:tc>
        <w:tc>
          <w:tcPr>
            <w:tcW w:w="930"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市级资金</w:t>
            </w:r>
          </w:p>
        </w:tc>
        <w:tc>
          <w:tcPr>
            <w:tcW w:w="1862" w:type="dxa"/>
            <w:gridSpan w:val="2"/>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江阳区</w:t>
            </w:r>
          </w:p>
        </w:tc>
        <w:tc>
          <w:tcPr>
            <w:tcW w:w="1978" w:type="dxa"/>
            <w:gridSpan w:val="2"/>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龙马潭区</w:t>
            </w:r>
          </w:p>
        </w:tc>
        <w:tc>
          <w:tcPr>
            <w:tcW w:w="1905" w:type="dxa"/>
            <w:gridSpan w:val="2"/>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纳溪区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trPr>
        <w:tc>
          <w:tcPr>
            <w:tcW w:w="1527"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p>
        </w:tc>
        <w:tc>
          <w:tcPr>
            <w:tcW w:w="1065"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p>
        </w:tc>
        <w:tc>
          <w:tcPr>
            <w:tcW w:w="930"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总资金</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市级资金</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总资金</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市级资金</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总资金</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市级资金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exact"/>
        </w:trPr>
        <w:tc>
          <w:tcPr>
            <w:tcW w:w="152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残疾人康复服务</w:t>
            </w:r>
          </w:p>
        </w:tc>
        <w:tc>
          <w:tcPr>
            <w:tcW w:w="106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i w:val="0"/>
                <w:iCs w:val="0"/>
                <w:color w:val="auto"/>
                <w:kern w:val="0"/>
                <w:sz w:val="24"/>
                <w:szCs w:val="24"/>
                <w:u w:val="none"/>
                <w:lang w:val="en-US" w:eastAsia="zh-CN" w:bidi="ar"/>
              </w:rPr>
              <w:t>831.81</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172.14</w:t>
            </w: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374.91</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48.8</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209.58</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51.84</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i w:val="0"/>
                <w:iCs w:val="0"/>
                <w:color w:val="auto"/>
                <w:kern w:val="0"/>
                <w:sz w:val="24"/>
                <w:szCs w:val="24"/>
                <w:u w:val="none"/>
                <w:lang w:val="en-US" w:eastAsia="zh-CN" w:bidi="ar"/>
              </w:rPr>
              <w:t>247.32</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exact"/>
        </w:trPr>
        <w:tc>
          <w:tcPr>
            <w:tcW w:w="152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困难残疾人家庭无障碍改造项目</w:t>
            </w:r>
          </w:p>
        </w:tc>
        <w:tc>
          <w:tcPr>
            <w:tcW w:w="106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241.33</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97.86</w:t>
            </w: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86.55</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40</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62.91</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25</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91.87</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exact"/>
        </w:trPr>
        <w:tc>
          <w:tcPr>
            <w:tcW w:w="152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残疾人之家建设</w:t>
            </w:r>
          </w:p>
        </w:tc>
        <w:tc>
          <w:tcPr>
            <w:tcW w:w="106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150</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150</w:t>
            </w: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40</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40</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60</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60</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50</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exact"/>
        </w:trPr>
        <w:tc>
          <w:tcPr>
            <w:tcW w:w="152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合计</w:t>
            </w:r>
          </w:p>
        </w:tc>
        <w:tc>
          <w:tcPr>
            <w:tcW w:w="106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color w:val="auto"/>
                <w:sz w:val="24"/>
                <w:szCs w:val="24"/>
                <w:lang w:val="en-US" w:eastAsia="zh-CN"/>
              </w:rPr>
              <w:t>1223.14</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lang w:val="en-US" w:eastAsia="zh-CN"/>
              </w:rPr>
            </w:pPr>
            <w:r>
              <w:rPr>
                <w:rFonts w:hint="default" w:ascii="Times New Roman" w:hAnsi="Times New Roman" w:eastAsia="方正仿宋简体" w:cs="Times New Roman"/>
                <w:b/>
                <w:bCs/>
                <w:color w:val="auto"/>
                <w:sz w:val="24"/>
                <w:szCs w:val="24"/>
                <w:lang w:val="en-US" w:eastAsia="zh-CN"/>
              </w:rPr>
              <w:t>420</w:t>
            </w: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color w:val="auto"/>
                <w:sz w:val="24"/>
                <w:szCs w:val="24"/>
                <w:lang w:val="en-US" w:eastAsia="zh-CN"/>
              </w:rPr>
              <w:t>501.46</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lang w:val="en-US" w:eastAsia="zh-CN" w:bidi="ar-SA"/>
              </w:rPr>
            </w:pPr>
            <w:r>
              <w:rPr>
                <w:rFonts w:hint="default" w:ascii="Times New Roman" w:hAnsi="Times New Roman" w:eastAsia="方正仿宋简体" w:cs="Times New Roman"/>
                <w:b/>
                <w:bCs/>
                <w:color w:val="auto"/>
                <w:kern w:val="2"/>
                <w:sz w:val="24"/>
                <w:szCs w:val="24"/>
                <w:lang w:val="en-US" w:eastAsia="zh-CN" w:bidi="ar-SA"/>
              </w:rPr>
              <w:t>128.8</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color w:val="auto"/>
                <w:sz w:val="24"/>
                <w:szCs w:val="24"/>
                <w:lang w:val="en-US" w:eastAsia="zh-CN"/>
              </w:rPr>
              <w:t>332.49</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lang w:val="en-US" w:eastAsia="zh-CN" w:bidi="ar-SA"/>
              </w:rPr>
            </w:pPr>
            <w:r>
              <w:rPr>
                <w:rFonts w:hint="default" w:ascii="Times New Roman" w:hAnsi="Times New Roman" w:eastAsia="方正仿宋简体" w:cs="Times New Roman"/>
                <w:b/>
                <w:bCs/>
                <w:color w:val="auto"/>
                <w:kern w:val="2"/>
                <w:sz w:val="24"/>
                <w:szCs w:val="24"/>
                <w:lang w:val="en-US" w:eastAsia="zh-CN" w:bidi="ar-SA"/>
              </w:rPr>
              <w:t>136.84</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color w:val="auto"/>
                <w:sz w:val="24"/>
                <w:szCs w:val="24"/>
                <w:lang w:val="en-US" w:eastAsia="zh-CN"/>
              </w:rPr>
              <w:t>389.19</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lang w:val="en-US" w:eastAsia="zh-CN"/>
              </w:rPr>
            </w:pPr>
            <w:r>
              <w:rPr>
                <w:rFonts w:hint="default" w:ascii="Times New Roman" w:hAnsi="Times New Roman" w:eastAsia="方正仿宋简体" w:cs="Times New Roman"/>
                <w:b/>
                <w:bCs/>
                <w:color w:val="auto"/>
                <w:sz w:val="24"/>
                <w:szCs w:val="24"/>
                <w:lang w:val="en-US" w:eastAsia="zh-CN"/>
              </w:rPr>
              <w:t>154.36</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lang w:val="zh-CN" w:eastAsia="zh-CN"/>
        </w:rPr>
      </w:pPr>
      <w:r>
        <w:rPr>
          <w:rFonts w:hint="default" w:ascii="Times New Roman" w:hAnsi="Times New Roman" w:eastAsia="方正仿宋简体" w:cs="Times New Roman"/>
          <w:b/>
          <w:bCs/>
          <w:color w:val="auto"/>
          <w:sz w:val="32"/>
          <w:szCs w:val="32"/>
          <w:lang w:val="en-US" w:eastAsia="zh-CN"/>
        </w:rPr>
        <w:t>（2）</w:t>
      </w:r>
      <w:r>
        <w:rPr>
          <w:rFonts w:hint="default" w:ascii="Times New Roman" w:hAnsi="Times New Roman" w:eastAsia="方正仿宋简体" w:cs="Times New Roman"/>
          <w:b/>
          <w:bCs/>
          <w:color w:val="auto"/>
          <w:sz w:val="32"/>
          <w:szCs w:val="32"/>
          <w:lang w:val="zh-CN" w:eastAsia="zh-CN"/>
        </w:rPr>
        <w:t>资金使用</w:t>
      </w:r>
    </w:p>
    <w:p>
      <w:pPr>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ind w:firstLine="643" w:firstLineChars="200"/>
        <w:contextualSpacing w:val="0"/>
        <w:jc w:val="left"/>
        <w:textAlignment w:val="auto"/>
        <w:rPr>
          <w:rFonts w:hint="default" w:ascii="Times New Roman" w:hAnsi="Times New Roman" w:eastAsia="楷体_GB2312" w:cs="Times New Roman"/>
          <w:b/>
          <w:bCs/>
          <w:color w:val="auto"/>
          <w:sz w:val="32"/>
          <w:szCs w:val="32"/>
          <w:highlight w:val="none"/>
          <w:u w:val="none"/>
          <w:lang w:val="zh-CN"/>
        </w:rPr>
      </w:pPr>
      <w:r>
        <w:rPr>
          <w:rFonts w:hint="default" w:ascii="Times New Roman" w:hAnsi="Times New Roman" w:eastAsia="方正仿宋简体" w:cs="Times New Roman"/>
          <w:b/>
          <w:bCs/>
          <w:color w:val="auto"/>
          <w:sz w:val="32"/>
          <w:szCs w:val="32"/>
          <w:lang w:val="zh-CN" w:eastAsia="zh-CN"/>
        </w:rPr>
        <w:t>截至202</w:t>
      </w:r>
      <w:r>
        <w:rPr>
          <w:rFonts w:hint="default" w:ascii="Times New Roman" w:hAnsi="Times New Roman" w:eastAsia="方正仿宋简体" w:cs="Times New Roman"/>
          <w:b/>
          <w:bCs/>
          <w:color w:val="auto"/>
          <w:sz w:val="32"/>
          <w:szCs w:val="32"/>
          <w:lang w:val="en-US" w:eastAsia="zh-CN"/>
        </w:rPr>
        <w:t>4</w:t>
      </w:r>
      <w:r>
        <w:rPr>
          <w:rFonts w:hint="default" w:ascii="Times New Roman" w:hAnsi="Times New Roman" w:eastAsia="方正仿宋简体" w:cs="Times New Roman"/>
          <w:b/>
          <w:bCs/>
          <w:color w:val="auto"/>
          <w:sz w:val="32"/>
          <w:szCs w:val="32"/>
          <w:lang w:val="zh-CN" w:eastAsia="zh-CN"/>
        </w:rPr>
        <w:t>年12月31日，残疾人事业发展补助资金执行数</w:t>
      </w:r>
      <w:r>
        <w:rPr>
          <w:rFonts w:hint="default" w:ascii="Times New Roman" w:hAnsi="Times New Roman" w:eastAsia="方正仿宋简体" w:cs="Times New Roman"/>
          <w:b/>
          <w:bCs/>
          <w:color w:val="auto"/>
          <w:sz w:val="32"/>
          <w:szCs w:val="32"/>
          <w:lang w:val="en-US" w:eastAsia="zh-CN"/>
        </w:rPr>
        <w:t>1212.22万元，执行率99.11%。</w:t>
      </w:r>
      <w:r>
        <w:rPr>
          <w:rFonts w:hint="default" w:ascii="Times New Roman" w:hAnsi="Times New Roman" w:eastAsia="方正仿宋简体" w:cs="Times New Roman"/>
          <w:b/>
          <w:bCs/>
          <w:color w:val="auto"/>
          <w:sz w:val="32"/>
          <w:szCs w:val="32"/>
          <w:lang w:val="zh-CN" w:eastAsia="zh-CN"/>
        </w:rPr>
        <w:t>其中，</w:t>
      </w:r>
      <w:r>
        <w:rPr>
          <w:rFonts w:hint="default" w:ascii="Times New Roman" w:hAnsi="Times New Roman" w:eastAsia="方正仿宋简体" w:cs="Times New Roman"/>
          <w:b/>
          <w:bCs/>
          <w:color w:val="auto"/>
          <w:sz w:val="32"/>
          <w:szCs w:val="32"/>
          <w:lang w:val="en-US" w:eastAsia="zh-CN"/>
        </w:rPr>
        <w:t>江阳区</w:t>
      </w:r>
      <w:r>
        <w:rPr>
          <w:rFonts w:hint="default" w:ascii="Times New Roman" w:hAnsi="Times New Roman" w:eastAsia="方正仿宋简体" w:cs="Times New Roman"/>
          <w:b/>
          <w:bCs/>
          <w:color w:val="auto"/>
          <w:sz w:val="32"/>
          <w:szCs w:val="32"/>
          <w:lang w:val="zh-CN" w:eastAsia="zh-CN"/>
        </w:rPr>
        <w:t>资金</w:t>
      </w:r>
      <w:r>
        <w:rPr>
          <w:rFonts w:hint="default" w:ascii="Times New Roman" w:hAnsi="Times New Roman" w:eastAsia="方正仿宋简体" w:cs="Times New Roman"/>
          <w:b/>
          <w:bCs/>
          <w:color w:val="auto"/>
          <w:sz w:val="32"/>
          <w:szCs w:val="32"/>
          <w:lang w:val="en-US" w:eastAsia="zh-CN"/>
        </w:rPr>
        <w:t>执行数501.46万元，执行率100%，龙马潭区资金执行数321.56万元，执行率96.71%，纳溪区资金执行数389.19万元，执行率100%。</w:t>
      </w:r>
    </w:p>
    <w:p>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简体" w:cs="Times New Roman"/>
          <w:b/>
          <w:bCs/>
          <w:color w:val="auto"/>
          <w:kern w:val="0"/>
          <w:sz w:val="32"/>
          <w:szCs w:val="32"/>
          <w:highlight w:val="none"/>
          <w:u w:val="none"/>
          <w:shd w:val="clear" w:color="auto" w:fill="FFFFFF"/>
          <w:lang w:val="en-US" w:eastAsia="zh-CN"/>
        </w:rPr>
      </w:pPr>
      <w:r>
        <w:rPr>
          <w:rFonts w:hint="default" w:ascii="Times New Roman" w:hAnsi="Times New Roman" w:eastAsia="方正黑体简体" w:cs="Times New Roman"/>
          <w:b/>
          <w:bCs/>
          <w:color w:val="auto"/>
          <w:kern w:val="0"/>
          <w:sz w:val="32"/>
          <w:szCs w:val="32"/>
          <w:highlight w:val="none"/>
          <w:u w:val="none"/>
          <w:shd w:val="clear" w:color="auto" w:fill="FFFFFF"/>
          <w:lang w:val="en-US" w:eastAsia="zh-CN"/>
        </w:rPr>
        <w:t>资金使用明细表</w:t>
      </w: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default" w:ascii="Times New Roman" w:hAnsi="Times New Roman" w:eastAsia="方正仿宋简体" w:cs="Times New Roman"/>
          <w:b/>
          <w:bCs/>
          <w:color w:val="auto"/>
          <w:sz w:val="30"/>
          <w:szCs w:val="30"/>
          <w:lang w:val="en-US" w:eastAsia="zh-CN"/>
        </w:rPr>
      </w:pPr>
      <w:r>
        <w:rPr>
          <w:rFonts w:hint="default" w:ascii="Times New Roman" w:hAnsi="Times New Roman" w:eastAsia="方正仿宋简体" w:cs="Times New Roman"/>
          <w:b/>
          <w:bCs/>
          <w:color w:val="auto"/>
          <w:kern w:val="0"/>
          <w:sz w:val="30"/>
          <w:szCs w:val="30"/>
          <w:highlight w:val="none"/>
          <w:u w:val="none"/>
          <w:shd w:val="clear" w:color="auto" w:fill="FFFFFF"/>
          <w:lang w:val="en-US" w:eastAsia="zh-CN"/>
        </w:rPr>
        <w:t>单位：万元</w:t>
      </w:r>
    </w:p>
    <w:tbl>
      <w:tblPr>
        <w:tblStyle w:val="20"/>
        <w:tblW w:w="9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065"/>
        <w:gridCol w:w="930"/>
        <w:gridCol w:w="1007"/>
        <w:gridCol w:w="855"/>
        <w:gridCol w:w="1059"/>
        <w:gridCol w:w="919"/>
        <w:gridCol w:w="97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527"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项目名称</w:t>
            </w:r>
          </w:p>
        </w:tc>
        <w:tc>
          <w:tcPr>
            <w:tcW w:w="1065"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 xml:space="preserve">项目   总资金 </w:t>
            </w:r>
          </w:p>
        </w:tc>
        <w:tc>
          <w:tcPr>
            <w:tcW w:w="930"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市级资金</w:t>
            </w:r>
          </w:p>
        </w:tc>
        <w:tc>
          <w:tcPr>
            <w:tcW w:w="1862" w:type="dxa"/>
            <w:gridSpan w:val="2"/>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江阳区</w:t>
            </w:r>
          </w:p>
        </w:tc>
        <w:tc>
          <w:tcPr>
            <w:tcW w:w="1978" w:type="dxa"/>
            <w:gridSpan w:val="2"/>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龙马潭区</w:t>
            </w:r>
          </w:p>
        </w:tc>
        <w:tc>
          <w:tcPr>
            <w:tcW w:w="1905" w:type="dxa"/>
            <w:gridSpan w:val="2"/>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纳溪区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527"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p>
        </w:tc>
        <w:tc>
          <w:tcPr>
            <w:tcW w:w="1065"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p>
        </w:tc>
        <w:tc>
          <w:tcPr>
            <w:tcW w:w="930"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总资金</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市级资金</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总资金</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市级资金</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总资金</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t>市级资金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exact"/>
        </w:trPr>
        <w:tc>
          <w:tcPr>
            <w:tcW w:w="152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残疾人康复服务</w:t>
            </w:r>
          </w:p>
        </w:tc>
        <w:tc>
          <w:tcPr>
            <w:tcW w:w="106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i w:val="0"/>
                <w:iCs w:val="0"/>
                <w:color w:val="auto"/>
                <w:kern w:val="0"/>
                <w:sz w:val="24"/>
                <w:szCs w:val="24"/>
                <w:u w:val="none"/>
                <w:lang w:val="en-US" w:eastAsia="zh-CN" w:bidi="ar"/>
              </w:rPr>
              <w:t>831.81</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172.14</w:t>
            </w: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374.91</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48.8</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209.58</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51.84</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i w:val="0"/>
                <w:iCs w:val="0"/>
                <w:color w:val="auto"/>
                <w:kern w:val="0"/>
                <w:sz w:val="24"/>
                <w:szCs w:val="24"/>
                <w:u w:val="none"/>
                <w:lang w:val="en-US" w:eastAsia="zh-CN" w:bidi="ar"/>
              </w:rPr>
              <w:t>247.32</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困难残疾人家庭无障碍改造项目</w:t>
            </w:r>
          </w:p>
        </w:tc>
        <w:tc>
          <w:tcPr>
            <w:tcW w:w="106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241.33</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97.86</w:t>
            </w: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86.55</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40</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62.91</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25</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91.87</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152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残疾人之家建设</w:t>
            </w:r>
          </w:p>
        </w:tc>
        <w:tc>
          <w:tcPr>
            <w:tcW w:w="106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139.08</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139.08</w:t>
            </w: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40</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40</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49.08</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49.08</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50</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合计</w:t>
            </w:r>
          </w:p>
        </w:tc>
        <w:tc>
          <w:tcPr>
            <w:tcW w:w="106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i w:val="0"/>
                <w:iCs w:val="0"/>
                <w:color w:val="auto"/>
                <w:kern w:val="0"/>
                <w:sz w:val="24"/>
                <w:szCs w:val="24"/>
                <w:u w:val="none"/>
                <w:lang w:val="en-US" w:eastAsia="zh-CN" w:bidi="ar"/>
              </w:rPr>
              <w:t>1212.22</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lang w:val="en-US" w:eastAsia="zh-CN"/>
              </w:rPr>
            </w:pPr>
            <w:r>
              <w:rPr>
                <w:rFonts w:hint="default" w:ascii="Times New Roman" w:hAnsi="Times New Roman" w:eastAsia="方正仿宋简体" w:cs="Times New Roman"/>
                <w:b/>
                <w:bCs/>
                <w:color w:val="auto"/>
                <w:sz w:val="24"/>
                <w:szCs w:val="24"/>
                <w:lang w:val="en-US" w:eastAsia="zh-CN"/>
              </w:rPr>
              <w:t>409.08</w:t>
            </w:r>
          </w:p>
        </w:tc>
        <w:tc>
          <w:tcPr>
            <w:tcW w:w="1007"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color w:val="auto"/>
                <w:sz w:val="24"/>
                <w:szCs w:val="24"/>
                <w:lang w:val="en-US" w:eastAsia="zh-CN"/>
              </w:rPr>
              <w:t>501.46</w:t>
            </w:r>
          </w:p>
        </w:tc>
        <w:tc>
          <w:tcPr>
            <w:tcW w:w="85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lang w:val="en-US" w:eastAsia="zh-CN" w:bidi="ar-SA"/>
              </w:rPr>
            </w:pPr>
            <w:r>
              <w:rPr>
                <w:rFonts w:hint="default" w:ascii="Times New Roman" w:hAnsi="Times New Roman" w:eastAsia="方正仿宋简体" w:cs="Times New Roman"/>
                <w:b/>
                <w:bCs/>
                <w:color w:val="auto"/>
                <w:kern w:val="2"/>
                <w:sz w:val="24"/>
                <w:szCs w:val="24"/>
                <w:lang w:val="en-US" w:eastAsia="zh-CN" w:bidi="ar-SA"/>
              </w:rPr>
              <w:t>128.8</w:t>
            </w:r>
          </w:p>
        </w:tc>
        <w:tc>
          <w:tcPr>
            <w:tcW w:w="105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color w:val="auto"/>
                <w:sz w:val="24"/>
                <w:szCs w:val="24"/>
                <w:lang w:val="en-US" w:eastAsia="zh-CN"/>
              </w:rPr>
              <w:t>321.56</w:t>
            </w:r>
          </w:p>
        </w:tc>
        <w:tc>
          <w:tcPr>
            <w:tcW w:w="919"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lang w:val="en-US" w:eastAsia="zh-CN" w:bidi="ar-SA"/>
              </w:rPr>
            </w:pPr>
            <w:r>
              <w:rPr>
                <w:rFonts w:hint="default" w:ascii="Times New Roman" w:hAnsi="Times New Roman" w:eastAsia="方正仿宋简体" w:cs="Times New Roman"/>
                <w:b/>
                <w:bCs/>
                <w:color w:val="auto"/>
                <w:sz w:val="24"/>
                <w:szCs w:val="24"/>
                <w:lang w:val="en-US" w:eastAsia="zh-CN"/>
              </w:rPr>
              <w:t>125.92</w:t>
            </w:r>
          </w:p>
        </w:tc>
        <w:tc>
          <w:tcPr>
            <w:tcW w:w="975"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i w:val="0"/>
                <w:iCs w:val="0"/>
                <w:color w:val="auto"/>
                <w:kern w:val="0"/>
                <w:sz w:val="24"/>
                <w:szCs w:val="24"/>
                <w:u w:val="none"/>
                <w:lang w:val="en-US" w:eastAsia="zh-CN" w:bidi="ar"/>
              </w:rPr>
            </w:pPr>
            <w:r>
              <w:rPr>
                <w:rFonts w:hint="default" w:ascii="Times New Roman" w:hAnsi="Times New Roman" w:eastAsia="方正仿宋简体" w:cs="Times New Roman"/>
                <w:b/>
                <w:bCs/>
                <w:color w:val="auto"/>
                <w:sz w:val="24"/>
                <w:szCs w:val="24"/>
                <w:lang w:val="en-US" w:eastAsia="zh-CN"/>
              </w:rPr>
              <w:t>389.19</w:t>
            </w:r>
          </w:p>
        </w:tc>
        <w:tc>
          <w:tcPr>
            <w:tcW w:w="930"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lang w:val="en-US" w:eastAsia="zh-CN"/>
              </w:rPr>
            </w:pPr>
            <w:r>
              <w:rPr>
                <w:rFonts w:hint="default" w:ascii="Times New Roman" w:hAnsi="Times New Roman" w:eastAsia="方正仿宋简体" w:cs="Times New Roman"/>
                <w:b/>
                <w:bCs/>
                <w:color w:val="auto"/>
                <w:sz w:val="24"/>
                <w:szCs w:val="24"/>
                <w:lang w:val="en-US" w:eastAsia="zh-CN"/>
              </w:rPr>
              <w:t>154.36</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4.项目结果</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方正仿宋简体" w:cs="Times New Roman"/>
          <w:b/>
          <w:bCs/>
          <w:color w:val="auto"/>
          <w:sz w:val="32"/>
          <w:szCs w:val="32"/>
          <w:lang w:val="zh-CN"/>
        </w:rPr>
      </w:pPr>
      <w:r>
        <w:rPr>
          <w:rFonts w:hint="default" w:ascii="Times New Roman" w:hAnsi="Times New Roman" w:eastAsia="方正仿宋简体" w:cs="Times New Roman"/>
          <w:b/>
          <w:bCs/>
          <w:color w:val="auto"/>
          <w:sz w:val="32"/>
          <w:szCs w:val="32"/>
          <w:lang w:eastAsia="zh-CN"/>
        </w:rPr>
        <w:t>通过项目实施，进一步</w:t>
      </w:r>
      <w:r>
        <w:rPr>
          <w:rFonts w:hint="default" w:ascii="Times New Roman" w:hAnsi="Times New Roman" w:eastAsia="方正仿宋简体" w:cs="Times New Roman"/>
          <w:b/>
          <w:bCs/>
          <w:color w:val="auto"/>
          <w:sz w:val="32"/>
          <w:szCs w:val="32"/>
        </w:rPr>
        <w:t>落实残疾人医疗康复、社会保障等扶持政策，健全残疾人权益保障制度和扶残助残服务体系，提升残疾人基本公共服务保障水平。通过开展残疾人基本康复服务项目年度工作，为残疾人配置辅助器具，为肢体、视力、精神、智力残疾人提供基本康复服务，努力提高受助残疾人生活自理和社会参与能力；支持困难重度残疾人实施家庭无障碍改造，改善残疾人居家环境</w:t>
      </w:r>
      <w:r>
        <w:rPr>
          <w:rFonts w:hint="default" w:ascii="Times New Roman" w:hAnsi="Times New Roman" w:eastAsia="方正仿宋简体" w:cs="Times New Roman"/>
          <w:b/>
          <w:bCs/>
          <w:color w:val="auto"/>
          <w:sz w:val="32"/>
          <w:szCs w:val="32"/>
          <w:lang w:eastAsia="zh-CN"/>
        </w:rPr>
        <w:t>；通过建设设施完善、功能齐全的“残疾人之家”，为残疾人提供就近就便服务的基层阵地，推动残疾人生活质量改善，助力残疾人改善身心状况、树立自食其力的信心。通</w:t>
      </w:r>
      <w:r>
        <w:rPr>
          <w:rFonts w:hint="default" w:ascii="Times New Roman" w:hAnsi="Times New Roman" w:eastAsia="方正仿宋简体" w:cs="Times New Roman"/>
          <w:b/>
          <w:bCs/>
          <w:color w:val="auto"/>
          <w:sz w:val="32"/>
          <w:szCs w:val="32"/>
          <w:lang w:val="zh-CN" w:eastAsia="zh-CN"/>
        </w:rPr>
        <w:t>过汇总统计，各项目已完成年度绩效目标设定值，具体情况如下。</w:t>
      </w:r>
    </w:p>
    <w:p>
      <w:pPr>
        <w:pStyle w:val="10"/>
        <w:keepNext w:val="0"/>
        <w:keepLines w:val="0"/>
        <w:pageBreakBefore w:val="0"/>
        <w:widowControl w:val="0"/>
        <w:kinsoku/>
        <w:wordWrap/>
        <w:overflowPunct/>
        <w:topLinePunct w:val="0"/>
        <w:autoSpaceDE/>
        <w:autoSpaceDN/>
        <w:bidi w:val="0"/>
        <w:spacing w:line="600" w:lineRule="exact"/>
        <w:ind w:left="0" w:leftChars="0" w:firstLine="643"/>
        <w:jc w:val="both"/>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rPr>
        <w:t>（1）</w:t>
      </w:r>
      <w:r>
        <w:rPr>
          <w:rFonts w:hint="default" w:ascii="Times New Roman" w:hAnsi="Times New Roman" w:eastAsia="方正仿宋简体" w:cs="Times New Roman"/>
          <w:b/>
          <w:bCs/>
          <w:color w:val="auto"/>
          <w:sz w:val="32"/>
          <w:szCs w:val="32"/>
          <w:lang w:eastAsia="zh-CN"/>
        </w:rPr>
        <w:t>残疾人康复服务项目</w:t>
      </w:r>
      <w:r>
        <w:rPr>
          <w:rFonts w:hint="default" w:ascii="Times New Roman" w:hAnsi="Times New Roman" w:eastAsia="方正仿宋简体" w:cs="Times New Roman"/>
          <w:b/>
          <w:bCs/>
          <w:color w:val="auto"/>
          <w:sz w:val="32"/>
          <w:szCs w:val="32"/>
        </w:rPr>
        <w:t>：目标任务数</w:t>
      </w:r>
      <w:r>
        <w:rPr>
          <w:rFonts w:hint="default" w:ascii="Times New Roman" w:hAnsi="Times New Roman" w:eastAsia="方正仿宋简体" w:cs="Times New Roman"/>
          <w:b/>
          <w:bCs/>
          <w:color w:val="auto"/>
          <w:sz w:val="32"/>
          <w:szCs w:val="32"/>
          <w:lang w:val="en-US" w:eastAsia="zh-CN"/>
        </w:rPr>
        <w:t>10758</w:t>
      </w:r>
      <w:r>
        <w:rPr>
          <w:rFonts w:hint="default" w:ascii="Times New Roman" w:hAnsi="Times New Roman" w:eastAsia="方正仿宋简体" w:cs="Times New Roman"/>
          <w:b/>
          <w:bCs/>
          <w:color w:val="auto"/>
          <w:sz w:val="32"/>
          <w:szCs w:val="32"/>
        </w:rPr>
        <w:t>人，全年完成</w:t>
      </w:r>
      <w:r>
        <w:rPr>
          <w:rFonts w:hint="default" w:ascii="Times New Roman" w:hAnsi="Times New Roman" w:eastAsia="方正仿宋简体" w:cs="Times New Roman"/>
          <w:b/>
          <w:bCs/>
          <w:color w:val="auto"/>
          <w:sz w:val="32"/>
          <w:szCs w:val="32"/>
          <w:lang w:val="en-US" w:eastAsia="zh-CN"/>
        </w:rPr>
        <w:t>11075</w:t>
      </w:r>
      <w:r>
        <w:rPr>
          <w:rFonts w:hint="default" w:ascii="Times New Roman" w:hAnsi="Times New Roman" w:eastAsia="方正仿宋简体" w:cs="Times New Roman"/>
          <w:b/>
          <w:bCs/>
          <w:color w:val="auto"/>
          <w:sz w:val="32"/>
          <w:szCs w:val="32"/>
        </w:rPr>
        <w:t>人</w:t>
      </w:r>
      <w:r>
        <w:rPr>
          <w:rFonts w:hint="default" w:ascii="Times New Roman" w:hAnsi="Times New Roman" w:eastAsia="方正仿宋简体" w:cs="Times New Roman"/>
          <w:b/>
          <w:bCs/>
          <w:color w:val="auto"/>
          <w:sz w:val="32"/>
          <w:szCs w:val="32"/>
          <w:lang w:eastAsia="zh-CN"/>
        </w:rPr>
        <w:t>。其中，0—6岁</w:t>
      </w:r>
      <w:r>
        <w:rPr>
          <w:rFonts w:hint="default" w:ascii="Times New Roman" w:hAnsi="Times New Roman" w:eastAsia="方正仿宋简体" w:cs="Times New Roman"/>
          <w:b/>
          <w:bCs/>
          <w:color w:val="auto"/>
          <w:sz w:val="32"/>
          <w:szCs w:val="32"/>
          <w:lang w:val="en-US" w:eastAsia="zh-CN"/>
        </w:rPr>
        <w:t>残疾儿童康复救助项目完成140人，7岁以上基本康复服务完成9699人，7岁以上基本辅具适配服务完成1236人。</w:t>
      </w:r>
    </w:p>
    <w:p>
      <w:pPr>
        <w:pStyle w:val="10"/>
        <w:keepNext w:val="0"/>
        <w:keepLines w:val="0"/>
        <w:pageBreakBefore w:val="0"/>
        <w:widowControl w:val="0"/>
        <w:kinsoku/>
        <w:wordWrap/>
        <w:overflowPunct/>
        <w:topLinePunct w:val="0"/>
        <w:autoSpaceDE/>
        <w:autoSpaceDN/>
        <w:bidi w:val="0"/>
        <w:spacing w:line="600" w:lineRule="exact"/>
        <w:ind w:left="0" w:leftChars="0" w:firstLine="643"/>
        <w:jc w:val="both"/>
        <w:textAlignment w:val="auto"/>
        <w:rPr>
          <w:rFonts w:hint="default" w:ascii="Times New Roman" w:hAnsi="Times New Roman" w:eastAsia="方正仿宋简体" w:cs="Times New Roman"/>
          <w:b/>
          <w:bCs/>
          <w:color w:val="auto"/>
        </w:rPr>
      </w:pPr>
      <w:r>
        <w:rPr>
          <w:rFonts w:hint="default" w:ascii="Times New Roman" w:hAnsi="Times New Roman" w:eastAsia="方正仿宋简体" w:cs="Times New Roman"/>
          <w:b/>
          <w:bCs/>
          <w:color w:val="auto"/>
          <w:sz w:val="32"/>
          <w:szCs w:val="32"/>
        </w:rPr>
        <w:t>（2）</w:t>
      </w:r>
      <w:r>
        <w:rPr>
          <w:rFonts w:hint="default" w:ascii="Times New Roman" w:hAnsi="Times New Roman" w:eastAsia="方正仿宋简体" w:cs="Times New Roman"/>
          <w:b/>
          <w:bCs/>
          <w:color w:val="auto"/>
          <w:sz w:val="32"/>
          <w:szCs w:val="32"/>
        </w:rPr>
        <w:t>困难残疾人家庭无障碍改造</w:t>
      </w:r>
      <w:r>
        <w:rPr>
          <w:rFonts w:hint="default" w:ascii="Times New Roman" w:hAnsi="Times New Roman" w:eastAsia="方正仿宋简体" w:cs="Times New Roman"/>
          <w:b/>
          <w:bCs/>
          <w:color w:val="auto"/>
          <w:sz w:val="32"/>
          <w:szCs w:val="32"/>
          <w:lang w:eastAsia="zh-CN"/>
        </w:rPr>
        <w:t>项目：</w:t>
      </w:r>
      <w:r>
        <w:rPr>
          <w:rFonts w:hint="default" w:ascii="Times New Roman" w:hAnsi="Times New Roman" w:eastAsia="方正仿宋简体" w:cs="Times New Roman"/>
          <w:b/>
          <w:bCs/>
          <w:color w:val="auto"/>
          <w:sz w:val="32"/>
          <w:szCs w:val="32"/>
        </w:rPr>
        <w:t>目标任务</w:t>
      </w:r>
      <w:r>
        <w:rPr>
          <w:rFonts w:hint="default" w:ascii="Times New Roman" w:hAnsi="Times New Roman" w:eastAsia="方正仿宋简体" w:cs="Times New Roman"/>
          <w:b/>
          <w:bCs/>
          <w:color w:val="auto"/>
          <w:sz w:val="32"/>
          <w:szCs w:val="32"/>
          <w:lang w:eastAsia="zh-CN"/>
        </w:rPr>
        <w:t>数</w:t>
      </w:r>
      <w:r>
        <w:rPr>
          <w:rFonts w:hint="default" w:ascii="Times New Roman" w:hAnsi="Times New Roman" w:eastAsia="方正仿宋简体" w:cs="Times New Roman"/>
          <w:b/>
          <w:bCs/>
          <w:color w:val="auto"/>
          <w:sz w:val="32"/>
          <w:szCs w:val="32"/>
          <w:lang w:val="en-US" w:eastAsia="zh-CN"/>
        </w:rPr>
        <w:t>646</w:t>
      </w:r>
      <w:r>
        <w:rPr>
          <w:rFonts w:hint="default" w:ascii="Times New Roman" w:hAnsi="Times New Roman" w:eastAsia="方正仿宋简体" w:cs="Times New Roman"/>
          <w:b/>
          <w:bCs/>
          <w:color w:val="auto"/>
          <w:sz w:val="32"/>
          <w:szCs w:val="32"/>
        </w:rPr>
        <w:t>人，全年完成</w:t>
      </w:r>
      <w:r>
        <w:rPr>
          <w:rFonts w:hint="default" w:ascii="Times New Roman" w:hAnsi="Times New Roman" w:eastAsia="方正仿宋简体" w:cs="Times New Roman"/>
          <w:b/>
          <w:bCs/>
          <w:color w:val="auto"/>
          <w:sz w:val="32"/>
          <w:szCs w:val="32"/>
          <w:lang w:val="en-US" w:eastAsia="zh-CN"/>
        </w:rPr>
        <w:t>646</w:t>
      </w:r>
      <w:r>
        <w:rPr>
          <w:rFonts w:hint="default" w:ascii="Times New Roman" w:hAnsi="Times New Roman" w:eastAsia="方正仿宋简体" w:cs="Times New Roman"/>
          <w:b/>
          <w:bCs/>
          <w:color w:val="auto"/>
          <w:sz w:val="32"/>
          <w:szCs w:val="32"/>
        </w:rPr>
        <w:t>人。</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方正仿宋简体" w:cs="Times New Roman"/>
          <w:b/>
          <w:bCs/>
          <w:color w:val="auto"/>
          <w:sz w:val="32"/>
          <w:szCs w:val="32"/>
          <w:lang w:val="zh-CN" w:eastAsia="zh-CN"/>
        </w:rPr>
      </w:pPr>
      <w:r>
        <w:rPr>
          <w:rFonts w:hint="default" w:ascii="Times New Roman" w:hAnsi="Times New Roman" w:eastAsia="方正仿宋简体" w:cs="Times New Roman"/>
          <w:b/>
          <w:bCs/>
          <w:color w:val="auto"/>
          <w:sz w:val="32"/>
          <w:szCs w:val="32"/>
          <w:lang w:val="zh-CN" w:eastAsia="zh-CN"/>
        </w:rPr>
        <w:t>（</w:t>
      </w:r>
      <w:r>
        <w:rPr>
          <w:rFonts w:hint="default" w:ascii="Times New Roman" w:hAnsi="Times New Roman" w:eastAsia="方正仿宋简体" w:cs="Times New Roman"/>
          <w:b/>
          <w:bCs/>
          <w:color w:val="auto"/>
          <w:sz w:val="32"/>
          <w:szCs w:val="32"/>
          <w:lang w:val="en-US" w:eastAsia="zh-CN"/>
        </w:rPr>
        <w:t>3</w:t>
      </w:r>
      <w:r>
        <w:rPr>
          <w:rFonts w:hint="default" w:ascii="Times New Roman" w:hAnsi="Times New Roman" w:eastAsia="方正仿宋简体" w:cs="Times New Roman"/>
          <w:b/>
          <w:bCs/>
          <w:color w:val="auto"/>
          <w:sz w:val="32"/>
          <w:szCs w:val="32"/>
          <w:lang w:val="zh-CN" w:eastAsia="zh-CN"/>
        </w:rPr>
        <w:t>）残疾人之家建设项目：目标任务数</w:t>
      </w:r>
      <w:r>
        <w:rPr>
          <w:rFonts w:hint="default" w:ascii="Times New Roman" w:hAnsi="Times New Roman" w:eastAsia="方正仿宋简体" w:cs="Times New Roman"/>
          <w:b/>
          <w:bCs/>
          <w:color w:val="auto"/>
          <w:sz w:val="32"/>
          <w:szCs w:val="32"/>
          <w:lang w:val="en-US" w:eastAsia="zh-CN"/>
        </w:rPr>
        <w:t>3个</w:t>
      </w:r>
      <w:r>
        <w:rPr>
          <w:rFonts w:hint="default" w:ascii="Times New Roman" w:hAnsi="Times New Roman" w:eastAsia="方正仿宋简体" w:cs="Times New Roman"/>
          <w:b/>
          <w:bCs/>
          <w:color w:val="auto"/>
          <w:sz w:val="32"/>
          <w:szCs w:val="32"/>
          <w:lang w:val="zh-CN" w:eastAsia="zh-CN"/>
        </w:rPr>
        <w:t>，全年完成</w:t>
      </w:r>
      <w:r>
        <w:rPr>
          <w:rFonts w:hint="default" w:ascii="Times New Roman" w:hAnsi="Times New Roman" w:eastAsia="方正仿宋简体" w:cs="Times New Roman"/>
          <w:b/>
          <w:bCs/>
          <w:color w:val="auto"/>
          <w:sz w:val="32"/>
          <w:szCs w:val="32"/>
          <w:lang w:val="en-US" w:eastAsia="zh-CN"/>
        </w:rPr>
        <w:t>5个</w:t>
      </w:r>
      <w:r>
        <w:rPr>
          <w:rFonts w:hint="default" w:ascii="Times New Roman" w:hAnsi="Times New Roman" w:eastAsia="方正仿宋简体" w:cs="Times New Roman"/>
          <w:b/>
          <w:bCs/>
          <w:color w:val="auto"/>
          <w:sz w:val="32"/>
          <w:szCs w:val="32"/>
          <w:lang w:val="zh-CN" w:eastAsia="zh-CN"/>
        </w:rPr>
        <w:t xml:space="preserve"> 。</w:t>
      </w:r>
    </w:p>
    <w:p>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简体" w:cs="Times New Roman"/>
          <w:b/>
          <w:bCs/>
          <w:color w:val="auto"/>
          <w:kern w:val="0"/>
          <w:sz w:val="32"/>
          <w:szCs w:val="32"/>
          <w:highlight w:val="none"/>
          <w:u w:val="none"/>
          <w:shd w:val="clear" w:color="auto" w:fill="FFFFFF"/>
          <w:lang w:val="en-US" w:eastAsia="zh-CN"/>
        </w:rPr>
      </w:pPr>
      <w:r>
        <w:rPr>
          <w:rFonts w:hint="default" w:ascii="Times New Roman" w:hAnsi="Times New Roman" w:eastAsia="方正黑体简体" w:cs="Times New Roman"/>
          <w:b/>
          <w:bCs/>
          <w:color w:val="auto"/>
          <w:kern w:val="0"/>
          <w:sz w:val="32"/>
          <w:szCs w:val="32"/>
          <w:highlight w:val="none"/>
          <w:u w:val="none"/>
          <w:shd w:val="clear" w:color="auto" w:fill="FFFFFF"/>
          <w:lang w:val="en-US" w:eastAsia="zh-CN"/>
        </w:rPr>
        <w:t>目标完成情况表</w:t>
      </w:r>
    </w:p>
    <w:tbl>
      <w:tblPr>
        <w:tblStyle w:val="20"/>
        <w:tblW w:w="9420"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953"/>
        <w:gridCol w:w="1050"/>
        <w:gridCol w:w="975"/>
        <w:gridCol w:w="1020"/>
        <w:gridCol w:w="990"/>
        <w:gridCol w:w="1035"/>
        <w:gridCol w:w="984"/>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1462" w:type="dxa"/>
            <w:vMerge w:val="restart"/>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vertAlign w:val="baseline"/>
                <w:lang w:eastAsia="zh-CN"/>
              </w:rPr>
            </w:pPr>
            <w:r>
              <w:rPr>
                <w:rFonts w:hint="default" w:ascii="Times New Roman" w:hAnsi="Times New Roman" w:eastAsia="方正仿宋简体" w:cs="Times New Roman"/>
                <w:b/>
                <w:bCs/>
                <w:color w:val="auto"/>
                <w:sz w:val="24"/>
                <w:szCs w:val="24"/>
                <w:vertAlign w:val="baseline"/>
                <w:lang w:eastAsia="zh-CN"/>
              </w:rPr>
              <w:t>项目名称</w:t>
            </w:r>
          </w:p>
        </w:tc>
        <w:tc>
          <w:tcPr>
            <w:tcW w:w="953" w:type="dxa"/>
            <w:vMerge w:val="restart"/>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vertAlign w:val="baseline"/>
                <w:lang w:eastAsia="zh-CN"/>
              </w:rPr>
            </w:pPr>
            <w:r>
              <w:rPr>
                <w:rFonts w:hint="default" w:ascii="Times New Roman" w:hAnsi="Times New Roman" w:eastAsia="方正仿宋简体" w:cs="Times New Roman"/>
                <w:b/>
                <w:bCs/>
                <w:color w:val="auto"/>
                <w:sz w:val="24"/>
                <w:szCs w:val="24"/>
                <w:vertAlign w:val="baseline"/>
                <w:lang w:eastAsia="zh-CN"/>
              </w:rPr>
              <w:t>目标数合计</w:t>
            </w:r>
          </w:p>
        </w:tc>
        <w:tc>
          <w:tcPr>
            <w:tcW w:w="1050" w:type="dxa"/>
            <w:vMerge w:val="restart"/>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vertAlign w:val="baseline"/>
                <w:lang w:eastAsia="zh-CN"/>
              </w:rPr>
            </w:pPr>
            <w:r>
              <w:rPr>
                <w:rFonts w:hint="default" w:ascii="Times New Roman" w:hAnsi="Times New Roman" w:eastAsia="方正仿宋简体" w:cs="Times New Roman"/>
                <w:b/>
                <w:bCs/>
                <w:color w:val="auto"/>
                <w:sz w:val="24"/>
                <w:szCs w:val="24"/>
                <w:vertAlign w:val="baseline"/>
                <w:lang w:eastAsia="zh-CN"/>
              </w:rPr>
              <w:t>完成数</w:t>
            </w:r>
            <w:r>
              <w:rPr>
                <w:rFonts w:hint="default" w:ascii="Times New Roman" w:hAnsi="Times New Roman" w:eastAsia="方正仿宋简体" w:cs="Times New Roman"/>
                <w:b/>
                <w:bCs/>
                <w:color w:val="auto"/>
                <w:sz w:val="24"/>
                <w:szCs w:val="24"/>
                <w:vertAlign w:val="baseline"/>
                <w:lang w:val="en-US" w:eastAsia="zh-CN"/>
              </w:rPr>
              <w:t xml:space="preserve"> </w:t>
            </w:r>
            <w:r>
              <w:rPr>
                <w:rFonts w:hint="default" w:ascii="Times New Roman" w:hAnsi="Times New Roman" w:eastAsia="方正仿宋简体" w:cs="Times New Roman"/>
                <w:b/>
                <w:bCs/>
                <w:color w:val="auto"/>
                <w:sz w:val="24"/>
                <w:szCs w:val="24"/>
                <w:vertAlign w:val="baseline"/>
                <w:lang w:eastAsia="zh-CN"/>
              </w:rPr>
              <w:t>合计</w:t>
            </w:r>
          </w:p>
        </w:tc>
        <w:tc>
          <w:tcPr>
            <w:tcW w:w="1995" w:type="dxa"/>
            <w:gridSpan w:val="2"/>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江阳区</w:t>
            </w:r>
          </w:p>
        </w:tc>
        <w:tc>
          <w:tcPr>
            <w:tcW w:w="2025" w:type="dxa"/>
            <w:gridSpan w:val="2"/>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龙马潭区</w:t>
            </w:r>
          </w:p>
        </w:tc>
        <w:tc>
          <w:tcPr>
            <w:tcW w:w="1935" w:type="dxa"/>
            <w:gridSpan w:val="2"/>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纳溪区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462"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zh-CN" w:eastAsia="zh-CN" w:bidi="ar-SA"/>
              </w:rPr>
            </w:pPr>
          </w:p>
        </w:tc>
        <w:tc>
          <w:tcPr>
            <w:tcW w:w="953" w:type="dxa"/>
            <w:vMerge w:val="continue"/>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vertAlign w:val="baseline"/>
                <w:lang w:eastAsia="zh-CN"/>
              </w:rPr>
            </w:pPr>
          </w:p>
        </w:tc>
        <w:tc>
          <w:tcPr>
            <w:tcW w:w="1050" w:type="dxa"/>
            <w:vMerge w:val="continue"/>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sz w:val="24"/>
                <w:szCs w:val="24"/>
                <w:vertAlign w:val="baseline"/>
                <w:lang w:eastAsia="zh-CN"/>
              </w:rPr>
            </w:pPr>
          </w:p>
        </w:tc>
        <w:tc>
          <w:tcPr>
            <w:tcW w:w="97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目标数</w:t>
            </w:r>
          </w:p>
        </w:tc>
        <w:tc>
          <w:tcPr>
            <w:tcW w:w="10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完成数</w:t>
            </w:r>
          </w:p>
        </w:tc>
        <w:tc>
          <w:tcPr>
            <w:tcW w:w="99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目标数</w:t>
            </w:r>
          </w:p>
        </w:tc>
        <w:tc>
          <w:tcPr>
            <w:tcW w:w="103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完成数</w:t>
            </w:r>
          </w:p>
        </w:tc>
        <w:tc>
          <w:tcPr>
            <w:tcW w:w="984"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目标数</w:t>
            </w:r>
          </w:p>
        </w:tc>
        <w:tc>
          <w:tcPr>
            <w:tcW w:w="951"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sz w:val="24"/>
                <w:szCs w:val="24"/>
                <w:vertAlign w:val="baseline"/>
                <w:lang w:eastAsia="zh-CN"/>
              </w:rPr>
              <w:t>完成数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exact"/>
        </w:trPr>
        <w:tc>
          <w:tcPr>
            <w:tcW w:w="1462"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zh-CN"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残疾人康复服务</w:t>
            </w:r>
          </w:p>
        </w:tc>
        <w:tc>
          <w:tcPr>
            <w:tcW w:w="95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auto"/>
                <w:kern w:val="0"/>
                <w:sz w:val="24"/>
                <w:szCs w:val="24"/>
                <w:u w:val="none"/>
                <w:lang w:val="en-US" w:eastAsia="zh-CN" w:bidi="ar"/>
              </w:rPr>
              <w:t>10758</w:t>
            </w:r>
          </w:p>
        </w:tc>
        <w:tc>
          <w:tcPr>
            <w:tcW w:w="105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auto"/>
                <w:kern w:val="0"/>
                <w:sz w:val="24"/>
                <w:szCs w:val="24"/>
                <w:u w:val="none"/>
                <w:lang w:val="en-US" w:eastAsia="zh-CN" w:bidi="ar"/>
              </w:rPr>
              <w:t>11075</w:t>
            </w:r>
          </w:p>
        </w:tc>
        <w:tc>
          <w:tcPr>
            <w:tcW w:w="97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kern w:val="2"/>
                <w:sz w:val="24"/>
                <w:szCs w:val="24"/>
                <w:vertAlign w:val="baseline"/>
                <w:lang w:val="en-US" w:eastAsia="zh-CN" w:bidi="ar-SA"/>
              </w:rPr>
              <w:t>3636</w:t>
            </w:r>
          </w:p>
        </w:tc>
        <w:tc>
          <w:tcPr>
            <w:tcW w:w="10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方正仿宋简体" w:cs="Times New Roman"/>
                <w:b/>
                <w:bCs/>
                <w:color w:val="auto"/>
                <w:kern w:val="2"/>
                <w:sz w:val="24"/>
                <w:szCs w:val="24"/>
                <w:vertAlign w:val="baseline"/>
                <w:lang w:val="en-US" w:eastAsia="zh-CN" w:bidi="ar-SA"/>
              </w:rPr>
              <w:t>3684</w:t>
            </w:r>
          </w:p>
        </w:tc>
        <w:tc>
          <w:tcPr>
            <w:tcW w:w="9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2826</w:t>
            </w:r>
          </w:p>
        </w:tc>
        <w:tc>
          <w:tcPr>
            <w:tcW w:w="103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2864</w:t>
            </w: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4296</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4527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exact"/>
        </w:trPr>
        <w:tc>
          <w:tcPr>
            <w:tcW w:w="1462"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zh-CN"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困难残疾人家庭无障碍改造项目</w:t>
            </w:r>
          </w:p>
        </w:tc>
        <w:tc>
          <w:tcPr>
            <w:tcW w:w="95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auto"/>
                <w:kern w:val="0"/>
                <w:sz w:val="24"/>
                <w:szCs w:val="24"/>
                <w:u w:val="none"/>
                <w:lang w:val="en-US" w:eastAsia="zh-CN" w:bidi="ar"/>
              </w:rPr>
              <w:t>646</w:t>
            </w:r>
          </w:p>
        </w:tc>
        <w:tc>
          <w:tcPr>
            <w:tcW w:w="105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auto"/>
                <w:kern w:val="0"/>
                <w:sz w:val="24"/>
                <w:szCs w:val="24"/>
                <w:u w:val="none"/>
                <w:lang w:val="en-US" w:eastAsia="zh-CN" w:bidi="ar"/>
              </w:rPr>
              <w:t>646</w:t>
            </w:r>
          </w:p>
        </w:tc>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220</w:t>
            </w:r>
          </w:p>
        </w:tc>
        <w:tc>
          <w:tcPr>
            <w:tcW w:w="102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220</w:t>
            </w:r>
          </w:p>
        </w:tc>
        <w:tc>
          <w:tcPr>
            <w:tcW w:w="9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267</w:t>
            </w:r>
          </w:p>
        </w:tc>
        <w:tc>
          <w:tcPr>
            <w:tcW w:w="103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267</w:t>
            </w: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159</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exact"/>
        </w:trPr>
        <w:tc>
          <w:tcPr>
            <w:tcW w:w="1462" w:type="dxa"/>
            <w:vAlign w:val="center"/>
          </w:tcPr>
          <w:p>
            <w:pPr>
              <w:pStyle w:val="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bidi="ar-SA"/>
              </w:rPr>
            </w:pPr>
            <w:r>
              <w:rPr>
                <w:rFonts w:hint="default" w:ascii="Times New Roman" w:hAnsi="Times New Roman" w:eastAsia="方正仿宋简体" w:cs="Times New Roman"/>
                <w:b/>
                <w:bCs/>
                <w:color w:val="auto"/>
                <w:kern w:val="0"/>
                <w:sz w:val="24"/>
                <w:szCs w:val="24"/>
                <w:highlight w:val="none"/>
                <w:u w:val="none"/>
                <w:shd w:val="clear" w:color="auto" w:fill="FFFFFF"/>
                <w:vertAlign w:val="baseline"/>
                <w:lang w:val="en-US" w:eastAsia="zh-CN"/>
              </w:rPr>
              <w:t>残疾人之家建设</w:t>
            </w:r>
          </w:p>
        </w:tc>
        <w:tc>
          <w:tcPr>
            <w:tcW w:w="95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auto"/>
                <w:kern w:val="0"/>
                <w:sz w:val="24"/>
                <w:szCs w:val="24"/>
                <w:u w:val="none"/>
                <w:lang w:val="en-US" w:eastAsia="zh-CN" w:bidi="ar"/>
              </w:rPr>
              <w:t>3</w:t>
            </w:r>
          </w:p>
        </w:tc>
        <w:tc>
          <w:tcPr>
            <w:tcW w:w="105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auto"/>
                <w:kern w:val="0"/>
                <w:sz w:val="24"/>
                <w:szCs w:val="24"/>
                <w:u w:val="none"/>
                <w:lang w:val="en-US" w:eastAsia="zh-CN" w:bidi="ar"/>
              </w:rPr>
              <w:t>5</w:t>
            </w:r>
          </w:p>
        </w:tc>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1</w:t>
            </w:r>
          </w:p>
        </w:tc>
        <w:tc>
          <w:tcPr>
            <w:tcW w:w="102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2</w:t>
            </w:r>
          </w:p>
        </w:tc>
        <w:tc>
          <w:tcPr>
            <w:tcW w:w="9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1</w:t>
            </w:r>
          </w:p>
        </w:tc>
        <w:tc>
          <w:tcPr>
            <w:tcW w:w="103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2</w:t>
            </w: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1</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简体" w:cs="Times New Roman"/>
                <w:b/>
                <w:bCs/>
                <w:color w:val="auto"/>
                <w:kern w:val="2"/>
                <w:sz w:val="24"/>
                <w:szCs w:val="24"/>
                <w:vertAlign w:val="baseline"/>
                <w:lang w:val="en-US" w:eastAsia="zh-CN" w:bidi="ar-SA"/>
              </w:rPr>
            </w:pPr>
            <w:r>
              <w:rPr>
                <w:rFonts w:hint="default" w:ascii="Times New Roman" w:hAnsi="Times New Roman" w:eastAsia="宋体" w:cs="Times New Roman"/>
                <w:b/>
                <w:bCs/>
                <w:i w:val="0"/>
                <w:iCs w:val="0"/>
                <w:color w:val="auto"/>
                <w:kern w:val="0"/>
                <w:sz w:val="24"/>
                <w:szCs w:val="24"/>
                <w:u w:val="none"/>
                <w:lang w:val="en-US" w:eastAsia="zh-CN" w:bidi="ar"/>
              </w:rPr>
              <w:t>1</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从</w:t>
      </w:r>
      <w:r>
        <w:rPr>
          <w:rFonts w:hint="default" w:ascii="Times New Roman" w:hAnsi="Times New Roman" w:eastAsia="方正仿宋简体" w:cs="Times New Roman"/>
          <w:b/>
          <w:bCs/>
          <w:color w:val="auto"/>
          <w:sz w:val="32"/>
          <w:szCs w:val="32"/>
        </w:rPr>
        <w:t>经济效益</w:t>
      </w:r>
      <w:r>
        <w:rPr>
          <w:rFonts w:hint="default" w:ascii="Times New Roman" w:hAnsi="Times New Roman" w:eastAsia="方正仿宋简体" w:cs="Times New Roman"/>
          <w:b/>
          <w:bCs/>
          <w:color w:val="auto"/>
          <w:sz w:val="32"/>
          <w:szCs w:val="32"/>
          <w:lang w:eastAsia="zh-CN"/>
        </w:rPr>
        <w:t>来看，</w:t>
      </w:r>
      <w:r>
        <w:rPr>
          <w:rFonts w:hint="default" w:ascii="Times New Roman" w:hAnsi="Times New Roman" w:eastAsia="方正仿宋简体" w:cs="Times New Roman"/>
          <w:b/>
          <w:bCs/>
          <w:color w:val="auto"/>
          <w:sz w:val="32"/>
          <w:szCs w:val="32"/>
        </w:rPr>
        <w:t>项目实施主要用于服务辖区残疾人，无法产生经济效益，故未设置经济效益指标。</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从</w:t>
      </w:r>
      <w:r>
        <w:rPr>
          <w:rFonts w:hint="default" w:ascii="Times New Roman" w:hAnsi="Times New Roman" w:eastAsia="方正仿宋简体" w:cs="Times New Roman"/>
          <w:b/>
          <w:bCs/>
          <w:color w:val="auto"/>
          <w:sz w:val="32"/>
          <w:szCs w:val="32"/>
        </w:rPr>
        <w:t>社会效益</w:t>
      </w:r>
      <w:r>
        <w:rPr>
          <w:rFonts w:hint="default" w:ascii="Times New Roman" w:hAnsi="Times New Roman" w:eastAsia="方正仿宋简体" w:cs="Times New Roman"/>
          <w:b/>
          <w:bCs/>
          <w:color w:val="auto"/>
          <w:sz w:val="32"/>
          <w:szCs w:val="32"/>
          <w:lang w:eastAsia="zh-CN"/>
        </w:rPr>
        <w:t>来看，</w:t>
      </w:r>
      <w:r>
        <w:rPr>
          <w:rFonts w:hint="default" w:ascii="Times New Roman" w:hAnsi="Times New Roman" w:eastAsia="方正仿宋简体" w:cs="Times New Roman"/>
          <w:b/>
          <w:bCs/>
          <w:color w:val="auto"/>
          <w:sz w:val="32"/>
          <w:szCs w:val="32"/>
        </w:rPr>
        <w:t>通过项目的实施，残疾人生存状况显著改善，生活水平不断提高，基本</w:t>
      </w:r>
      <w:r>
        <w:rPr>
          <w:rFonts w:hint="default" w:ascii="Times New Roman" w:hAnsi="Times New Roman" w:eastAsia="方正仿宋简体" w:cs="Times New Roman"/>
          <w:b/>
          <w:bCs/>
          <w:color w:val="auto"/>
          <w:sz w:val="32"/>
          <w:szCs w:val="32"/>
          <w:lang w:eastAsia="zh-CN"/>
        </w:rPr>
        <w:t>公共服务</w:t>
      </w:r>
      <w:r>
        <w:rPr>
          <w:rFonts w:hint="default" w:ascii="Times New Roman" w:hAnsi="Times New Roman" w:eastAsia="方正仿宋简体" w:cs="Times New Roman"/>
          <w:b/>
          <w:bCs/>
          <w:color w:val="auto"/>
          <w:sz w:val="32"/>
          <w:szCs w:val="32"/>
        </w:rPr>
        <w:t>水平持续提升</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关心、理解、支持残疾人的社会氛围</w:t>
      </w:r>
      <w:r>
        <w:rPr>
          <w:rFonts w:hint="default" w:ascii="Times New Roman" w:hAnsi="Times New Roman" w:eastAsia="方正仿宋简体" w:cs="Times New Roman"/>
          <w:b/>
          <w:bCs/>
          <w:color w:val="auto"/>
          <w:sz w:val="32"/>
          <w:szCs w:val="32"/>
          <w:lang w:eastAsia="zh-CN"/>
        </w:rPr>
        <w:t>更加浓厚，</w:t>
      </w:r>
      <w:r>
        <w:rPr>
          <w:rFonts w:hint="default" w:ascii="Times New Roman" w:hAnsi="Times New Roman" w:eastAsia="方正仿宋简体" w:cs="Times New Roman"/>
          <w:b/>
          <w:bCs/>
          <w:color w:val="auto"/>
          <w:sz w:val="32"/>
          <w:szCs w:val="32"/>
        </w:rPr>
        <w:t>全市残疾人事业发展环境有了新的改善。</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从</w:t>
      </w:r>
      <w:r>
        <w:rPr>
          <w:rFonts w:hint="default" w:ascii="Times New Roman" w:hAnsi="Times New Roman" w:eastAsia="方正仿宋简体" w:cs="Times New Roman"/>
          <w:b/>
          <w:bCs/>
          <w:color w:val="auto"/>
          <w:sz w:val="32"/>
          <w:szCs w:val="32"/>
        </w:rPr>
        <w:t>生态效益</w:t>
      </w:r>
      <w:r>
        <w:rPr>
          <w:rFonts w:hint="default" w:ascii="Times New Roman" w:hAnsi="Times New Roman" w:eastAsia="方正仿宋简体" w:cs="Times New Roman"/>
          <w:b/>
          <w:bCs/>
          <w:color w:val="auto"/>
          <w:sz w:val="32"/>
          <w:szCs w:val="32"/>
          <w:lang w:eastAsia="zh-CN"/>
        </w:rPr>
        <w:t>来看，该项资金</w:t>
      </w:r>
      <w:r>
        <w:rPr>
          <w:rFonts w:hint="default" w:ascii="Times New Roman" w:hAnsi="Times New Roman" w:eastAsia="方正仿宋简体" w:cs="Times New Roman"/>
          <w:b/>
          <w:bCs/>
          <w:color w:val="auto"/>
          <w:sz w:val="32"/>
          <w:szCs w:val="32"/>
        </w:rPr>
        <w:t>主要是为解决辖区残疾人康复、托养服务、就业创业等，属于公益类项目，故未设定该项指标值。</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从</w:t>
      </w:r>
      <w:r>
        <w:rPr>
          <w:rFonts w:hint="default" w:ascii="Times New Roman" w:hAnsi="Times New Roman" w:eastAsia="方正仿宋简体" w:cs="Times New Roman"/>
          <w:b/>
          <w:bCs/>
          <w:color w:val="auto"/>
          <w:sz w:val="32"/>
          <w:szCs w:val="32"/>
        </w:rPr>
        <w:t>可持续影响指标</w:t>
      </w:r>
      <w:r>
        <w:rPr>
          <w:rFonts w:hint="default" w:ascii="Times New Roman" w:hAnsi="Times New Roman" w:eastAsia="方正仿宋简体" w:cs="Times New Roman"/>
          <w:b/>
          <w:bCs/>
          <w:color w:val="auto"/>
          <w:sz w:val="32"/>
          <w:szCs w:val="32"/>
          <w:lang w:eastAsia="zh-CN"/>
        </w:rPr>
        <w:t>来看，</w:t>
      </w:r>
      <w:r>
        <w:rPr>
          <w:rFonts w:hint="default" w:ascii="Times New Roman" w:hAnsi="Times New Roman" w:eastAsia="方正仿宋简体" w:cs="Times New Roman"/>
          <w:b/>
          <w:bCs/>
          <w:color w:val="auto"/>
          <w:sz w:val="32"/>
          <w:szCs w:val="32"/>
        </w:rPr>
        <w:t>各项目的实施，使残疾人生活水平、融入社会能力得到提高，残疾人生活状况得到改善。不同程度</w:t>
      </w:r>
      <w:r>
        <w:rPr>
          <w:rFonts w:hint="default" w:ascii="Times New Roman" w:hAnsi="Times New Roman" w:eastAsia="方正仿宋简体" w:cs="Times New Roman"/>
          <w:b/>
          <w:bCs/>
          <w:color w:val="auto"/>
          <w:sz w:val="32"/>
          <w:szCs w:val="32"/>
          <w:lang w:eastAsia="zh-CN"/>
        </w:rPr>
        <w:t>地</w:t>
      </w:r>
      <w:r>
        <w:rPr>
          <w:rFonts w:hint="default" w:ascii="Times New Roman" w:hAnsi="Times New Roman" w:eastAsia="方正仿宋简体" w:cs="Times New Roman"/>
          <w:b/>
          <w:bCs/>
          <w:color w:val="auto"/>
          <w:sz w:val="32"/>
          <w:szCs w:val="32"/>
        </w:rPr>
        <w:t>减轻了残疾人经济负担，促进社会和谐与稳定，营造了扶残助残良好社会氛围。</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从</w:t>
      </w:r>
      <w:r>
        <w:rPr>
          <w:rFonts w:hint="default" w:ascii="Times New Roman" w:hAnsi="Times New Roman" w:eastAsia="方正仿宋简体" w:cs="Times New Roman"/>
          <w:b/>
          <w:bCs/>
          <w:color w:val="auto"/>
          <w:sz w:val="32"/>
          <w:szCs w:val="32"/>
        </w:rPr>
        <w:t>满意度指标</w:t>
      </w:r>
      <w:r>
        <w:rPr>
          <w:rFonts w:hint="default" w:ascii="Times New Roman" w:hAnsi="Times New Roman" w:eastAsia="方正仿宋简体" w:cs="Times New Roman"/>
          <w:b/>
          <w:bCs/>
          <w:color w:val="auto"/>
          <w:sz w:val="32"/>
          <w:szCs w:val="32"/>
          <w:lang w:eastAsia="zh-CN"/>
        </w:rPr>
        <w:t>来看，</w:t>
      </w:r>
      <w:r>
        <w:rPr>
          <w:rFonts w:hint="default" w:ascii="Times New Roman" w:hAnsi="Times New Roman" w:eastAsia="方正仿宋简体" w:cs="Times New Roman"/>
          <w:b/>
          <w:bCs/>
          <w:color w:val="auto"/>
          <w:sz w:val="32"/>
          <w:szCs w:val="32"/>
          <w:lang w:val="en-US" w:eastAsia="zh-CN"/>
        </w:rPr>
        <w:t>2024</w:t>
      </w:r>
      <w:r>
        <w:rPr>
          <w:rFonts w:hint="default" w:ascii="Times New Roman" w:hAnsi="Times New Roman" w:eastAsia="方正仿宋简体" w:cs="Times New Roman"/>
          <w:b/>
          <w:bCs/>
          <w:color w:val="auto"/>
          <w:sz w:val="32"/>
          <w:szCs w:val="32"/>
        </w:rPr>
        <w:t>年</w:t>
      </w:r>
      <w:r>
        <w:rPr>
          <w:rFonts w:hint="default" w:ascii="Times New Roman" w:hAnsi="Times New Roman" w:eastAsia="方正仿宋简体" w:cs="Times New Roman"/>
          <w:b/>
          <w:bCs/>
          <w:color w:val="auto"/>
          <w:sz w:val="32"/>
          <w:szCs w:val="32"/>
          <w:lang w:eastAsia="zh-CN"/>
        </w:rPr>
        <w:t>三区</w:t>
      </w:r>
      <w:r>
        <w:rPr>
          <w:rFonts w:hint="default" w:ascii="Times New Roman" w:hAnsi="Times New Roman" w:eastAsia="方正仿宋简体" w:cs="Times New Roman"/>
          <w:b/>
          <w:bCs/>
          <w:color w:val="auto"/>
          <w:sz w:val="32"/>
          <w:szCs w:val="32"/>
        </w:rPr>
        <w:t>残疾人事业项目满意度指标均达到设定值，残疾人对服务的满意度均达到</w:t>
      </w:r>
      <w:r>
        <w:rPr>
          <w:rFonts w:hint="default" w:ascii="Times New Roman" w:hAnsi="Times New Roman" w:eastAsia="方正仿宋简体" w:cs="Times New Roman"/>
          <w:b/>
          <w:bCs/>
          <w:color w:val="auto"/>
          <w:sz w:val="32"/>
          <w:szCs w:val="32"/>
          <w:lang w:val="en-US" w:eastAsia="zh-CN"/>
        </w:rPr>
        <w:t>95</w:t>
      </w:r>
      <w:r>
        <w:rPr>
          <w:rFonts w:hint="default" w:ascii="Times New Roman" w:hAnsi="Times New Roman" w:eastAsia="方正仿宋简体" w:cs="Times New Roman"/>
          <w:b/>
          <w:bCs/>
          <w:color w:val="auto"/>
          <w:sz w:val="32"/>
          <w:szCs w:val="32"/>
        </w:rPr>
        <w:t>%以上。</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楷体简体" w:cs="Times New Roman"/>
          <w:b/>
          <w:bCs/>
          <w:color w:val="auto"/>
          <w:sz w:val="32"/>
          <w:szCs w:val="32"/>
        </w:rPr>
      </w:pPr>
      <w:r>
        <w:rPr>
          <w:rFonts w:hint="default" w:ascii="Times New Roman" w:hAnsi="Times New Roman" w:eastAsia="方正楷体简体" w:cs="Times New Roman"/>
          <w:b/>
          <w:bCs/>
          <w:color w:val="auto"/>
          <w:sz w:val="32"/>
          <w:szCs w:val="32"/>
        </w:rPr>
        <w:t>（二）专用指标绩效分析（民生保障类）</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1.共性指标</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lang w:val="en-US" w:eastAsia="zh-CN"/>
        </w:rPr>
        <w:t>1</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区域均衡性</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该项目旨在重视残疾预防和残疾人康复工作，发展残疾人事业，改善残疾人在基本生活、医疗卫生、康复、教育、就业、社会参与等方面的困难现状，维护残疾人合法权益，促进社会公平正义，实现全体人民共享改革发展成果。市级补助资金根据各区兼顾三区残疾人基数差异</w:t>
      </w:r>
      <w:r>
        <w:rPr>
          <w:rFonts w:hint="default" w:ascii="Times New Roman" w:hAnsi="Times New Roman" w:eastAsia="方正仿宋简体" w:cs="Times New Roman"/>
          <w:b/>
          <w:bCs/>
          <w:color w:val="auto"/>
          <w:sz w:val="32"/>
          <w:szCs w:val="32"/>
          <w:lang w:eastAsia="zh-CN"/>
        </w:rPr>
        <w:t>、上年项目绩效管理</w:t>
      </w:r>
      <w:r>
        <w:rPr>
          <w:rFonts w:hint="default" w:ascii="Times New Roman" w:hAnsi="Times New Roman" w:eastAsia="方正仿宋简体" w:cs="Times New Roman"/>
          <w:b/>
          <w:bCs/>
          <w:color w:val="auto"/>
          <w:sz w:val="32"/>
          <w:szCs w:val="32"/>
        </w:rPr>
        <w:t>等相关因素进行分配</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资金分配方法科学合理，项目资金分配满足了均衡公平。</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lang w:val="en-US" w:eastAsia="zh-CN"/>
        </w:rPr>
        <w:t>2</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对象公平性</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eastAsia="zh-CN"/>
        </w:rPr>
      </w:pPr>
      <w:r>
        <w:rPr>
          <w:rFonts w:hint="default" w:ascii="Times New Roman" w:hAnsi="Times New Roman" w:eastAsia="方正仿宋简体" w:cs="Times New Roman"/>
          <w:b/>
          <w:bCs/>
          <w:color w:val="auto"/>
          <w:sz w:val="32"/>
          <w:szCs w:val="32"/>
        </w:rPr>
        <w:t>各区残联根据残疾人数据进行入户调查，对拟受益残疾人名单及补助单位进行公示，公示期满后组织实施。对符合要求的残疾人提供康复训练、居家环境改造、协助就业等服务。该项目实施公平公正，在支持范围、标准、程序上不存在明显的排他性和歧视性规定</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能够有效做到大多数和少数的协调统一</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统筹兼顾</w:t>
      </w:r>
      <w:r>
        <w:rPr>
          <w:rFonts w:hint="default" w:ascii="Times New Roman" w:hAnsi="Times New Roman" w:eastAsia="方正仿宋简体" w:cs="Times New Roman"/>
          <w:b/>
          <w:bCs/>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kern w:val="2"/>
          <w:sz w:val="32"/>
          <w:szCs w:val="32"/>
          <w:lang w:val="en-US" w:eastAsia="zh-CN" w:bidi="ar-SA"/>
        </w:rPr>
        <w:t>（3）</w:t>
      </w:r>
      <w:r>
        <w:rPr>
          <w:rFonts w:hint="default" w:ascii="Times New Roman" w:hAnsi="Times New Roman" w:eastAsia="方正仿宋简体" w:cs="Times New Roman"/>
          <w:b/>
          <w:bCs/>
          <w:color w:val="auto"/>
          <w:sz w:val="32"/>
          <w:szCs w:val="32"/>
          <w:lang w:val="en-US" w:eastAsia="zh-CN"/>
        </w:rPr>
        <w:t>标准合理性</w:t>
      </w:r>
    </w:p>
    <w:p>
      <w:pPr>
        <w:pStyle w:val="7"/>
        <w:keepNext w:val="0"/>
        <w:keepLines w:val="0"/>
        <w:pageBreakBefore w:val="0"/>
        <w:widowControl w:val="0"/>
        <w:numPr>
          <w:ilvl w:val="0"/>
          <w:numId w:val="0"/>
        </w:numPr>
        <w:kinsoku/>
        <w:wordWrap/>
        <w:overflowPunct/>
        <w:topLinePunct w:val="0"/>
        <w:autoSpaceDE/>
        <w:autoSpaceDN/>
        <w:bidi w:val="0"/>
        <w:spacing w:line="600" w:lineRule="exact"/>
        <w:ind w:left="0" w:leftChars="0" w:firstLine="643" w:firstLineChars="200"/>
        <w:textAlignment w:val="auto"/>
        <w:rPr>
          <w:rFonts w:hint="default" w:ascii="Times New Roman" w:hAnsi="Times New Roman" w:eastAsia="方正仿宋简体" w:cs="Times New Roman"/>
          <w:b/>
          <w:bCs/>
          <w:color w:val="auto"/>
          <w:kern w:val="2"/>
          <w:sz w:val="32"/>
          <w:szCs w:val="32"/>
          <w:lang w:val="en-US" w:eastAsia="zh-CN" w:bidi="ar-SA"/>
        </w:rPr>
      </w:pPr>
      <w:r>
        <w:rPr>
          <w:rFonts w:hint="default" w:ascii="Times New Roman" w:hAnsi="Times New Roman" w:eastAsia="方正仿宋简体" w:cs="Times New Roman"/>
          <w:b/>
          <w:bCs/>
          <w:color w:val="auto"/>
          <w:kern w:val="2"/>
          <w:sz w:val="32"/>
          <w:szCs w:val="32"/>
          <w:lang w:val="en-US" w:eastAsia="zh-CN" w:bidi="ar-SA"/>
        </w:rPr>
        <w:t>我会坚持“对标上级、立足实际”原则，印发了《关于做好2024年残疾人事业发展补助资金项目绩效管理工作的通知》，进一步明确了项目实施规范及资金支出标准。各区县须据此制定切实可行的实施方案，并严格依照方案要求，全面落实各项目标任务，确保政策执行统一、资金使用精准、绩效目标可及。</w:t>
      </w:r>
    </w:p>
    <w:p>
      <w:pPr>
        <w:pStyle w:val="7"/>
        <w:keepNext w:val="0"/>
        <w:keepLines w:val="0"/>
        <w:pageBreakBefore w:val="0"/>
        <w:widowControl w:val="0"/>
        <w:kinsoku/>
        <w:wordWrap/>
        <w:overflowPunct/>
        <w:topLinePunct w:val="0"/>
        <w:autoSpaceDE/>
        <w:autoSpaceDN/>
        <w:bidi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（4）群众满意度</w:t>
      </w:r>
    </w:p>
    <w:p>
      <w:pPr>
        <w:pStyle w:val="7"/>
        <w:keepNext w:val="0"/>
        <w:keepLines w:val="0"/>
        <w:pageBreakBefore w:val="0"/>
        <w:widowControl w:val="0"/>
        <w:kinsoku/>
        <w:wordWrap/>
        <w:overflowPunct/>
        <w:topLinePunct w:val="0"/>
        <w:autoSpaceDE/>
        <w:autoSpaceDN/>
        <w:bidi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各区县通过对项目开展绩效自评，通过调查问卷、现场入户等方式，对该项目满意度进行了解。残疾人康复服务、无障碍改造满意度以及残疾人之家满意度均在95%以上。</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2.基础管理</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val="en-US" w:eastAsia="zh-CN"/>
        </w:rPr>
        <w:t>（1）</w:t>
      </w:r>
      <w:r>
        <w:rPr>
          <w:rFonts w:hint="default" w:ascii="Times New Roman" w:hAnsi="Times New Roman" w:eastAsia="方正仿宋简体" w:cs="Times New Roman"/>
          <w:b/>
          <w:bCs/>
          <w:color w:val="auto"/>
          <w:sz w:val="32"/>
          <w:szCs w:val="32"/>
        </w:rPr>
        <w:t>审核把关情况</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残疾人补助资金的总体使用流程为</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由乡镇审核后报县</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市、区</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残联</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县</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市、区</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残联提出审定意见并确定拟补助对象公示名单，由乡镇</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街道</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组织村</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社区</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进行公示。各区在执行过程中总体执行情况较好，未见因管理疏漏导致审核把关不严的情况。</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val="en-US" w:eastAsia="zh-CN"/>
        </w:rPr>
        <w:t>（2）</w:t>
      </w:r>
      <w:r>
        <w:rPr>
          <w:rFonts w:hint="default" w:ascii="Times New Roman" w:hAnsi="Times New Roman" w:eastAsia="方正仿宋简体" w:cs="Times New Roman"/>
          <w:b/>
          <w:bCs/>
          <w:color w:val="auto"/>
          <w:sz w:val="32"/>
          <w:szCs w:val="32"/>
        </w:rPr>
        <w:t>申请便捷性</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通过对重点项目档案资料进行抽查及实地调查，三区在项目申报实施流程上较规范，未出现申请流程繁复的情况。</w:t>
      </w:r>
    </w:p>
    <w:p>
      <w:pPr>
        <w:pStyle w:val="7"/>
        <w:keepNext w:val="0"/>
        <w:keepLines w:val="0"/>
        <w:pageBreakBefore w:val="0"/>
        <w:widowControl w:val="0"/>
        <w:kinsoku/>
        <w:wordWrap/>
        <w:overflowPunct/>
        <w:topLinePunct w:val="0"/>
        <w:autoSpaceDE/>
        <w:autoSpaceDN/>
        <w:bidi w:val="0"/>
        <w:spacing w:line="600" w:lineRule="exact"/>
        <w:ind w:left="0" w:leftChars="0" w:firstLine="643" w:firstLineChars="200"/>
        <w:textAlignment w:val="auto"/>
        <w:rPr>
          <w:rFonts w:hint="default" w:ascii="Times New Roman" w:hAnsi="Times New Roman" w:cs="Times New Roman"/>
          <w:b/>
          <w:bCs/>
          <w:color w:val="auto"/>
          <w:lang w:val="en-US"/>
        </w:rPr>
      </w:pPr>
      <w:r>
        <w:rPr>
          <w:rFonts w:hint="default" w:ascii="Times New Roman" w:hAnsi="Times New Roman" w:eastAsia="方正仿宋简体" w:cs="Times New Roman"/>
          <w:b/>
          <w:bCs/>
          <w:color w:val="auto"/>
          <w:sz w:val="32"/>
          <w:szCs w:val="32"/>
          <w:lang w:val="en-US" w:eastAsia="zh-CN"/>
        </w:rPr>
        <w:t>（3）信息公开及时性</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经抽查</w:t>
      </w:r>
      <w:r>
        <w:rPr>
          <w:rFonts w:hint="default" w:ascii="Times New Roman" w:hAnsi="Times New Roman" w:eastAsia="方正仿宋简体" w:cs="Times New Roman"/>
          <w:b/>
          <w:bCs/>
          <w:color w:val="auto"/>
          <w:sz w:val="32"/>
          <w:szCs w:val="32"/>
          <w:lang w:eastAsia="zh-CN"/>
        </w:rPr>
        <w:t>区县</w:t>
      </w:r>
      <w:r>
        <w:rPr>
          <w:rFonts w:hint="default" w:ascii="Times New Roman" w:hAnsi="Times New Roman" w:eastAsia="方正仿宋简体" w:cs="Times New Roman"/>
          <w:b/>
          <w:bCs/>
          <w:color w:val="auto"/>
          <w:sz w:val="32"/>
          <w:szCs w:val="32"/>
        </w:rPr>
        <w:t>档案资料，</w:t>
      </w:r>
      <w:r>
        <w:rPr>
          <w:rFonts w:hint="default" w:ascii="Times New Roman" w:hAnsi="Times New Roman" w:eastAsia="方正仿宋简体" w:cs="Times New Roman"/>
          <w:b/>
          <w:bCs/>
          <w:color w:val="auto"/>
          <w:sz w:val="32"/>
          <w:szCs w:val="32"/>
          <w:lang w:eastAsia="zh-CN"/>
        </w:rPr>
        <w:t>三</w:t>
      </w:r>
      <w:r>
        <w:rPr>
          <w:rFonts w:hint="default" w:ascii="Times New Roman" w:hAnsi="Times New Roman" w:eastAsia="方正仿宋简体" w:cs="Times New Roman"/>
          <w:b/>
          <w:bCs/>
          <w:color w:val="auto"/>
          <w:sz w:val="32"/>
          <w:szCs w:val="32"/>
        </w:rPr>
        <w:t>区对残疾人康复服务、困难残疾人家庭无障碍改造、残疾人之家建设三个项目的拟补助对象信息及时进行公开公示，未发现信息公开不及时性情况。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kern w:val="2"/>
          <w:sz w:val="32"/>
          <w:szCs w:val="32"/>
          <w:lang w:val="en-US" w:eastAsia="zh-CN" w:bidi="ar-SA"/>
        </w:rPr>
        <w:t>（4）</w:t>
      </w:r>
      <w:r>
        <w:rPr>
          <w:rFonts w:hint="default" w:ascii="Times New Roman" w:hAnsi="Times New Roman" w:eastAsia="方正仿宋简体" w:cs="Times New Roman"/>
          <w:b/>
          <w:bCs/>
          <w:color w:val="auto"/>
          <w:sz w:val="32"/>
          <w:szCs w:val="32"/>
          <w:lang w:val="en-US" w:eastAsia="zh-CN"/>
        </w:rPr>
        <w:t>平台填报准确率</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kern w:val="2"/>
          <w:sz w:val="32"/>
          <w:szCs w:val="32"/>
          <w:lang w:val="en-US" w:eastAsia="zh-CN" w:bidi="ar-SA"/>
        </w:rPr>
      </w:pPr>
      <w:r>
        <w:rPr>
          <w:rFonts w:hint="default" w:ascii="Times New Roman" w:hAnsi="Times New Roman" w:eastAsia="方正仿宋简体" w:cs="Times New Roman"/>
          <w:b/>
          <w:bCs/>
          <w:color w:val="auto"/>
          <w:kern w:val="2"/>
          <w:sz w:val="32"/>
          <w:szCs w:val="32"/>
          <w:lang w:val="en-US" w:eastAsia="zh-CN" w:bidi="ar-SA"/>
        </w:rPr>
        <w:t>根据全国残联信息化平台数据核验，2024年度残疾人康复救助及无障碍改造项目绩效自评结果显示：全市目标任务总量11721人，平台实际录入11826人，偏差率0.88%。其中江阳区目标完成3904人、平台录入3703人，偏差率5.42%；龙马潭区完成3131人、录入3158人，偏差率0.85%；纳溪区完成4686人、录入4965人，偏差率5.62%。依据《项目绩效评价指标体系》评分细则，全市偏差率0.88%，整体达成“0&lt;偏差率</w:t>
      </w:r>
      <w:r>
        <w:rPr>
          <w:rFonts w:hint="default" w:ascii="Times New Roman" w:hAnsi="Times New Roman" w:eastAsia="宋体" w:cs="Times New Roman"/>
          <w:b/>
          <w:bCs/>
          <w:color w:val="auto"/>
          <w:kern w:val="2"/>
          <w:sz w:val="32"/>
          <w:szCs w:val="32"/>
          <w:lang w:val="en-US" w:eastAsia="zh-CN" w:bidi="ar-SA"/>
        </w:rPr>
        <w:t>≦</w:t>
      </w:r>
      <w:r>
        <w:rPr>
          <w:rFonts w:hint="default" w:ascii="Times New Roman" w:hAnsi="Times New Roman" w:eastAsia="方正仿宋简体" w:cs="Times New Roman"/>
          <w:b/>
          <w:bCs/>
          <w:color w:val="auto"/>
          <w:kern w:val="2"/>
          <w:sz w:val="32"/>
          <w:szCs w:val="32"/>
          <w:lang w:val="en-US" w:eastAsia="zh-CN" w:bidi="ar-SA"/>
        </w:rPr>
        <w:t>5%”标准，自评得分2.4分。</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kern w:val="2"/>
          <w:sz w:val="32"/>
          <w:szCs w:val="32"/>
          <w:lang w:val="en-US" w:eastAsia="zh-CN" w:bidi="ar-SA"/>
        </w:rPr>
      </w:pPr>
      <w:r>
        <w:rPr>
          <w:rFonts w:hint="default" w:ascii="Times New Roman" w:hAnsi="Times New Roman" w:eastAsia="方正仿宋简体" w:cs="Times New Roman"/>
          <w:b/>
          <w:bCs/>
          <w:color w:val="auto"/>
          <w:kern w:val="2"/>
          <w:sz w:val="32"/>
          <w:szCs w:val="32"/>
          <w:lang w:val="en-US" w:eastAsia="zh-CN" w:bidi="ar-SA"/>
        </w:rPr>
        <w:t>（5）项目管理规范化</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市级层面</w:t>
      </w:r>
      <w:r>
        <w:rPr>
          <w:rFonts w:hint="default" w:ascii="Times New Roman" w:hAnsi="Times New Roman" w:eastAsia="方正仿宋简体" w:cs="Times New Roman"/>
          <w:b/>
          <w:bCs/>
          <w:color w:val="auto"/>
          <w:sz w:val="32"/>
          <w:szCs w:val="32"/>
          <w:lang w:eastAsia="zh-CN"/>
        </w:rPr>
        <w:t>按照项目管理“五个一”工作机制，制定了《关于做好2024年残疾人事业发展补助资金项目绩效管理工作的通知》，</w:t>
      </w:r>
      <w:r>
        <w:rPr>
          <w:rFonts w:hint="default" w:ascii="Times New Roman" w:hAnsi="Times New Roman" w:eastAsia="方正仿宋简体" w:cs="Times New Roman"/>
          <w:b/>
          <w:bCs/>
          <w:color w:val="auto"/>
          <w:sz w:val="32"/>
          <w:szCs w:val="32"/>
        </w:rPr>
        <w:t>管理规范健全，但</w:t>
      </w:r>
      <w:r>
        <w:rPr>
          <w:rFonts w:hint="default" w:ascii="Times New Roman" w:hAnsi="Times New Roman" w:eastAsia="方正仿宋简体" w:cs="Times New Roman"/>
          <w:b/>
          <w:bCs/>
          <w:color w:val="auto"/>
          <w:sz w:val="32"/>
          <w:szCs w:val="32"/>
          <w:lang w:eastAsia="zh-CN"/>
        </w:rPr>
        <w:t>部分区县个别项目未制定项目实施方案。</w:t>
      </w:r>
      <w:r>
        <w:rPr>
          <w:rFonts w:hint="default" w:ascii="Times New Roman" w:hAnsi="Times New Roman" w:eastAsia="方正仿宋简体" w:cs="Times New Roman"/>
          <w:b/>
          <w:bCs/>
          <w:color w:val="auto"/>
          <w:sz w:val="32"/>
          <w:szCs w:val="32"/>
          <w:lang w:val="en-US" w:eastAsia="zh-CN"/>
        </w:rPr>
        <w:t>如：江阳区未制定残疾人基本康复服务、0—6岁残疾儿童康复救助项目实施方案；</w:t>
      </w:r>
      <w:r>
        <w:rPr>
          <w:rFonts w:hint="default" w:ascii="Times New Roman" w:hAnsi="Times New Roman" w:eastAsia="方正仿宋简体" w:cs="Times New Roman"/>
          <w:b/>
          <w:bCs/>
          <w:color w:val="auto"/>
          <w:sz w:val="32"/>
          <w:szCs w:val="32"/>
          <w:lang w:eastAsia="zh-CN"/>
        </w:rPr>
        <w:t>龙马潭区未制定残疾人基本康复服务、辅具适配项目、0—6岁</w:t>
      </w:r>
      <w:r>
        <w:rPr>
          <w:rFonts w:hint="default" w:ascii="Times New Roman" w:hAnsi="Times New Roman" w:eastAsia="方正仿宋简体" w:cs="Times New Roman"/>
          <w:b/>
          <w:bCs/>
          <w:color w:val="auto"/>
          <w:sz w:val="32"/>
          <w:szCs w:val="32"/>
          <w:lang w:val="en-US" w:eastAsia="zh-CN"/>
        </w:rPr>
        <w:t>残疾儿童康复救助项目实施方案。龙马潭区康复服务档案未见心理健康服务完成名单。</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3.社会效益</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val="en-US" w:eastAsia="zh-CN"/>
        </w:rPr>
        <w:t>（1）</w:t>
      </w:r>
      <w:r>
        <w:rPr>
          <w:rFonts w:hint="default" w:ascii="Times New Roman" w:hAnsi="Times New Roman" w:eastAsia="方正仿宋简体" w:cs="Times New Roman"/>
          <w:b/>
          <w:bCs/>
          <w:color w:val="auto"/>
          <w:sz w:val="32"/>
          <w:szCs w:val="32"/>
        </w:rPr>
        <w:t>项目覆盖率</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根据</w:t>
      </w:r>
      <w:r>
        <w:rPr>
          <w:rFonts w:hint="default" w:ascii="Times New Roman" w:hAnsi="Times New Roman" w:eastAsia="方正仿宋简体" w:cs="Times New Roman"/>
          <w:b/>
          <w:bCs/>
          <w:color w:val="auto"/>
          <w:sz w:val="32"/>
          <w:szCs w:val="32"/>
          <w:lang w:val="en-US" w:eastAsia="zh-CN"/>
        </w:rPr>
        <w:t>四川省“量体裁衣”式残疾人服务平台</w:t>
      </w:r>
      <w:r>
        <w:rPr>
          <w:rFonts w:hint="default" w:ascii="Times New Roman" w:hAnsi="Times New Roman" w:eastAsia="方正仿宋简体" w:cs="Times New Roman"/>
          <w:b/>
          <w:bCs/>
          <w:color w:val="auto"/>
          <w:sz w:val="32"/>
          <w:szCs w:val="32"/>
        </w:rPr>
        <w:t>数据</w:t>
      </w:r>
      <w:r>
        <w:rPr>
          <w:rFonts w:hint="default" w:ascii="Times New Roman" w:hAnsi="Times New Roman" w:eastAsia="方正仿宋简体" w:cs="Times New Roman"/>
          <w:b/>
          <w:bCs/>
          <w:color w:val="auto"/>
          <w:sz w:val="32"/>
          <w:szCs w:val="32"/>
          <w:lang w:val="en-US" w:eastAsia="zh-CN"/>
        </w:rPr>
        <w:t>核验，</w:t>
      </w:r>
      <w:r>
        <w:rPr>
          <w:rFonts w:hint="default" w:ascii="Times New Roman" w:hAnsi="Times New Roman" w:eastAsia="方正仿宋简体" w:cs="Times New Roman"/>
          <w:b/>
          <w:bCs/>
          <w:color w:val="auto"/>
          <w:kern w:val="2"/>
          <w:sz w:val="32"/>
          <w:szCs w:val="32"/>
          <w:lang w:val="en-US" w:eastAsia="zh-CN" w:bidi="ar-SA"/>
        </w:rPr>
        <w:t>2024年度残疾人康复救助及无障碍改造项目绩效自评结果显示：</w:t>
      </w:r>
      <w:r>
        <w:rPr>
          <w:rFonts w:hint="default" w:ascii="Times New Roman" w:hAnsi="Times New Roman" w:eastAsia="方正仿宋简体" w:cs="Times New Roman"/>
          <w:b/>
          <w:bCs/>
          <w:color w:val="auto"/>
          <w:sz w:val="32"/>
          <w:szCs w:val="32"/>
          <w:lang w:val="en-US" w:eastAsia="zh-CN"/>
        </w:rPr>
        <w:t>上年9月在持证残疾人基本状况调查中该项目需求人数10773人，</w:t>
      </w:r>
      <w:r>
        <w:rPr>
          <w:rFonts w:hint="default" w:ascii="Times New Roman" w:hAnsi="Times New Roman" w:eastAsia="方正仿宋简体" w:cs="Times New Roman"/>
          <w:b/>
          <w:bCs/>
          <w:color w:val="auto"/>
          <w:sz w:val="32"/>
          <w:szCs w:val="32"/>
        </w:rPr>
        <w:t>202</w:t>
      </w:r>
      <w:r>
        <w:rPr>
          <w:rFonts w:hint="default" w:ascii="Times New Roman" w:hAnsi="Times New Roman" w:eastAsia="方正仿宋简体" w:cs="Times New Roman"/>
          <w:b/>
          <w:bCs/>
          <w:color w:val="auto"/>
          <w:sz w:val="32"/>
          <w:szCs w:val="32"/>
          <w:lang w:val="en-US" w:eastAsia="zh-CN"/>
        </w:rPr>
        <w:t>4</w:t>
      </w:r>
      <w:r>
        <w:rPr>
          <w:rFonts w:hint="default" w:ascii="Times New Roman" w:hAnsi="Times New Roman" w:eastAsia="方正仿宋简体" w:cs="Times New Roman"/>
          <w:b/>
          <w:bCs/>
          <w:color w:val="auto"/>
          <w:sz w:val="32"/>
          <w:szCs w:val="32"/>
        </w:rPr>
        <w:t>年</w:t>
      </w:r>
      <w:r>
        <w:rPr>
          <w:rFonts w:hint="default" w:ascii="Times New Roman" w:hAnsi="Times New Roman" w:eastAsia="方正仿宋简体" w:cs="Times New Roman"/>
          <w:b/>
          <w:bCs/>
          <w:color w:val="auto"/>
          <w:sz w:val="32"/>
          <w:szCs w:val="32"/>
          <w:lang w:val="en-US" w:eastAsia="zh-CN"/>
        </w:rPr>
        <w:t>使用</w:t>
      </w:r>
      <w:r>
        <w:rPr>
          <w:rFonts w:hint="default" w:ascii="Times New Roman" w:hAnsi="Times New Roman" w:eastAsia="方正仿宋简体" w:cs="Times New Roman"/>
          <w:b/>
          <w:bCs/>
          <w:color w:val="auto"/>
          <w:sz w:val="32"/>
          <w:szCs w:val="32"/>
        </w:rPr>
        <w:t>残疾人事业发展</w:t>
      </w:r>
      <w:r>
        <w:rPr>
          <w:rFonts w:hint="default" w:ascii="Times New Roman" w:hAnsi="Times New Roman" w:eastAsia="方正仿宋简体" w:cs="Times New Roman"/>
          <w:b/>
          <w:bCs/>
          <w:color w:val="auto"/>
          <w:sz w:val="32"/>
          <w:szCs w:val="32"/>
          <w:lang w:val="en-US" w:eastAsia="zh-CN"/>
        </w:rPr>
        <w:t>市级</w:t>
      </w:r>
      <w:r>
        <w:rPr>
          <w:rFonts w:hint="default" w:ascii="Times New Roman" w:hAnsi="Times New Roman" w:eastAsia="方正仿宋简体" w:cs="Times New Roman"/>
          <w:b/>
          <w:bCs/>
          <w:color w:val="auto"/>
          <w:sz w:val="32"/>
          <w:szCs w:val="32"/>
        </w:rPr>
        <w:t>补助资金</w:t>
      </w:r>
      <w:r>
        <w:rPr>
          <w:rFonts w:hint="default" w:ascii="Times New Roman" w:hAnsi="Times New Roman" w:eastAsia="方正仿宋简体" w:cs="Times New Roman"/>
          <w:b/>
          <w:bCs/>
          <w:color w:val="auto"/>
          <w:sz w:val="32"/>
          <w:szCs w:val="32"/>
          <w:lang w:val="en-US" w:eastAsia="zh-CN"/>
        </w:rPr>
        <w:t>项目目标完成数11721</w:t>
      </w:r>
      <w:r>
        <w:rPr>
          <w:rFonts w:hint="default" w:ascii="Times New Roman" w:hAnsi="Times New Roman" w:eastAsia="方正仿宋简体" w:cs="Times New Roman"/>
          <w:b/>
          <w:bCs/>
          <w:color w:val="auto"/>
          <w:sz w:val="32"/>
          <w:szCs w:val="32"/>
        </w:rPr>
        <w:t>人</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覆盖率为</w:t>
      </w:r>
      <w:r>
        <w:rPr>
          <w:rFonts w:hint="default" w:ascii="Times New Roman" w:hAnsi="Times New Roman" w:eastAsia="方正仿宋简体" w:cs="Times New Roman"/>
          <w:b/>
          <w:bCs/>
          <w:color w:val="auto"/>
          <w:sz w:val="32"/>
          <w:szCs w:val="32"/>
          <w:lang w:val="en-US" w:eastAsia="zh-CN"/>
        </w:rPr>
        <w:t>108.8</w:t>
      </w:r>
      <w:r>
        <w:rPr>
          <w:rFonts w:hint="default" w:ascii="Times New Roman" w:hAnsi="Times New Roman" w:eastAsia="方正仿宋简体" w:cs="Times New Roman"/>
          <w:b/>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val="en-US" w:eastAsia="zh-CN"/>
        </w:rPr>
        <w:t>（2）改善</w:t>
      </w:r>
      <w:r>
        <w:rPr>
          <w:rFonts w:hint="default" w:ascii="Times New Roman" w:hAnsi="Times New Roman" w:eastAsia="方正仿宋简体" w:cs="Times New Roman"/>
          <w:b/>
          <w:bCs/>
          <w:color w:val="auto"/>
          <w:sz w:val="32"/>
          <w:szCs w:val="32"/>
        </w:rPr>
        <w:t>残疾人生活质量提高</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cs="Times New Roman"/>
          <w:b/>
          <w:bCs/>
          <w:color w:val="auto"/>
          <w:lang w:val="en-US" w:eastAsia="zh-CN"/>
        </w:rPr>
      </w:pPr>
      <w:r>
        <w:rPr>
          <w:rFonts w:hint="default" w:ascii="Times New Roman" w:hAnsi="Times New Roman" w:eastAsia="方正仿宋简体" w:cs="Times New Roman"/>
          <w:b/>
          <w:bCs/>
          <w:color w:val="auto"/>
          <w:sz w:val="32"/>
          <w:szCs w:val="32"/>
        </w:rPr>
        <w:t>残疾人事业发展项目是长期延续性项目，为全面推进本市残疾人康复、就业、社会保障等各项工作，结合实际情况对康复救助等各项制度不断完善，康复服务能力进一步提升，康复机构得到进一步发展</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残疾人家庭无障碍改造目录得到更新，改造种类更加多样</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为进一步提升服务残疾人能力，“残疾人之家”规范化建设工作不断推进，点位数量也逐年递增，在辅助性就业、文体活动等方面的需求基本能得到满足，但在日间照料、技能培训、康复训练等功能方面还需要进一步加强。</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楷体简体" w:cs="Times New Roman"/>
          <w:b/>
          <w:bCs/>
          <w:color w:val="auto"/>
          <w:sz w:val="32"/>
          <w:szCs w:val="32"/>
        </w:rPr>
      </w:pPr>
      <w:r>
        <w:rPr>
          <w:rFonts w:hint="default" w:ascii="Times New Roman" w:hAnsi="Times New Roman" w:eastAsia="方正楷体简体" w:cs="Times New Roman"/>
          <w:b/>
          <w:bCs/>
          <w:color w:val="auto"/>
          <w:sz w:val="32"/>
          <w:szCs w:val="32"/>
        </w:rPr>
        <w:t>（二）</w:t>
      </w:r>
      <w:r>
        <w:rPr>
          <w:rFonts w:hint="default" w:ascii="Times New Roman" w:hAnsi="Times New Roman" w:eastAsia="方正楷体简体" w:cs="Times New Roman"/>
          <w:b/>
          <w:bCs/>
          <w:color w:val="auto"/>
          <w:sz w:val="32"/>
          <w:szCs w:val="32"/>
          <w:lang w:eastAsia="zh-CN"/>
        </w:rPr>
        <w:t>个性</w:t>
      </w:r>
      <w:r>
        <w:rPr>
          <w:rFonts w:hint="default" w:ascii="Times New Roman" w:hAnsi="Times New Roman" w:eastAsia="方正楷体简体" w:cs="Times New Roman"/>
          <w:b/>
          <w:bCs/>
          <w:color w:val="auto"/>
          <w:sz w:val="32"/>
          <w:szCs w:val="32"/>
        </w:rPr>
        <w:t>指标绩效分析</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val="en-US" w:eastAsia="zh-CN"/>
        </w:rPr>
        <w:t>1.</w:t>
      </w:r>
      <w:r>
        <w:rPr>
          <w:rFonts w:hint="default" w:ascii="Times New Roman" w:hAnsi="Times New Roman" w:eastAsia="方正仿宋简体" w:cs="Times New Roman"/>
          <w:b/>
          <w:bCs/>
          <w:color w:val="auto"/>
          <w:sz w:val="32"/>
          <w:szCs w:val="32"/>
        </w:rPr>
        <w:t>长效机制健全性</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经查阅资料，省级、市级层面均对残疾人事业发展项目制定各类政策文件</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各区残联按照上级政策文件结合本区域实际情况、本地优势资源等实现差异化发展制定了各区的项目实施办法，项目管理制度基本健全，但个别区在项目细化管理上仍需加强，如江阳区未制定残疾人基本康复服务、</w:t>
      </w:r>
      <w:r>
        <w:rPr>
          <w:rFonts w:hint="default" w:ascii="Times New Roman" w:hAnsi="Times New Roman" w:eastAsia="方正仿宋简体" w:cs="Times New Roman"/>
          <w:b/>
          <w:bCs/>
          <w:color w:val="auto"/>
          <w:sz w:val="32"/>
          <w:szCs w:val="32"/>
          <w:lang w:eastAsia="zh-CN"/>
        </w:rPr>
        <w:t>0—6岁</w:t>
      </w:r>
      <w:r>
        <w:rPr>
          <w:rFonts w:hint="default" w:ascii="Times New Roman" w:hAnsi="Times New Roman" w:eastAsia="方正仿宋简体" w:cs="Times New Roman"/>
          <w:b/>
          <w:bCs/>
          <w:color w:val="auto"/>
          <w:sz w:val="32"/>
          <w:szCs w:val="32"/>
        </w:rPr>
        <w:t>残疾儿童康复救助项目实施方案；龙马潭区未制定残疾人基本康复服务、辅具适配项目、</w:t>
      </w:r>
      <w:r>
        <w:rPr>
          <w:rFonts w:hint="default" w:ascii="Times New Roman" w:hAnsi="Times New Roman" w:eastAsia="方正仿宋简体" w:cs="Times New Roman"/>
          <w:b/>
          <w:bCs/>
          <w:color w:val="auto"/>
          <w:sz w:val="32"/>
          <w:szCs w:val="32"/>
          <w:lang w:eastAsia="zh-CN"/>
        </w:rPr>
        <w:t>0—6岁</w:t>
      </w:r>
      <w:r>
        <w:rPr>
          <w:rFonts w:hint="default" w:ascii="Times New Roman" w:hAnsi="Times New Roman" w:eastAsia="方正仿宋简体" w:cs="Times New Roman"/>
          <w:b/>
          <w:bCs/>
          <w:color w:val="auto"/>
          <w:sz w:val="32"/>
          <w:szCs w:val="32"/>
        </w:rPr>
        <w:t>残疾儿童康复救助项目实施方案。</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highlight w:val="none"/>
        </w:rPr>
      </w:pPr>
      <w:r>
        <w:rPr>
          <w:rFonts w:hint="default" w:ascii="Times New Roman" w:hAnsi="Times New Roman" w:eastAsia="方正仿宋简体" w:cs="Times New Roman"/>
          <w:b/>
          <w:bCs/>
          <w:color w:val="auto"/>
          <w:sz w:val="32"/>
          <w:szCs w:val="32"/>
          <w:highlight w:val="none"/>
          <w:lang w:val="en-US" w:eastAsia="zh-CN"/>
        </w:rPr>
        <w:t>2.</w:t>
      </w:r>
      <w:r>
        <w:rPr>
          <w:rFonts w:hint="default" w:ascii="Times New Roman" w:hAnsi="Times New Roman" w:eastAsia="方正仿宋简体" w:cs="Times New Roman"/>
          <w:b/>
          <w:bCs/>
          <w:color w:val="auto"/>
          <w:sz w:val="32"/>
          <w:szCs w:val="32"/>
          <w:highlight w:val="none"/>
        </w:rPr>
        <w:t>政策知晓率</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各区县通过对项目开展绩效自评，通过调查问卷、现场入户等方式，对该项目</w:t>
      </w:r>
      <w:r>
        <w:rPr>
          <w:rFonts w:hint="default" w:ascii="Times New Roman" w:hAnsi="Times New Roman" w:eastAsia="方正仿宋简体" w:cs="Times New Roman"/>
          <w:b/>
          <w:bCs/>
          <w:color w:val="auto"/>
          <w:sz w:val="32"/>
          <w:szCs w:val="32"/>
          <w:lang w:val="en-US" w:eastAsia="zh-CN"/>
        </w:rPr>
        <w:t>政策情况</w:t>
      </w:r>
      <w:r>
        <w:rPr>
          <w:rFonts w:hint="default" w:ascii="Times New Roman" w:hAnsi="Times New Roman" w:eastAsia="方正仿宋简体" w:cs="Times New Roman"/>
          <w:b/>
          <w:bCs/>
          <w:color w:val="auto"/>
          <w:sz w:val="32"/>
          <w:szCs w:val="32"/>
        </w:rPr>
        <w:t>进行了解。残疾人康复服务、无障碍改造以及残疾人之家</w:t>
      </w:r>
      <w:r>
        <w:rPr>
          <w:rFonts w:hint="default" w:ascii="Times New Roman" w:hAnsi="Times New Roman" w:eastAsia="方正仿宋简体" w:cs="Times New Roman"/>
          <w:b/>
          <w:bCs/>
          <w:color w:val="auto"/>
          <w:sz w:val="32"/>
          <w:szCs w:val="32"/>
          <w:lang w:val="en-US" w:eastAsia="zh-CN"/>
        </w:rPr>
        <w:t>政策知晓率</w:t>
      </w:r>
      <w:r>
        <w:rPr>
          <w:rFonts w:hint="default" w:ascii="Times New Roman" w:hAnsi="Times New Roman" w:eastAsia="方正仿宋简体" w:cs="Times New Roman"/>
          <w:b/>
          <w:bCs/>
          <w:color w:val="auto"/>
          <w:sz w:val="32"/>
          <w:szCs w:val="32"/>
        </w:rPr>
        <w:t>均在9</w:t>
      </w:r>
      <w:r>
        <w:rPr>
          <w:rFonts w:hint="default" w:ascii="Times New Roman" w:hAnsi="Times New Roman" w:eastAsia="方正仿宋简体" w:cs="Times New Roman"/>
          <w:b/>
          <w:bCs/>
          <w:color w:val="auto"/>
          <w:sz w:val="32"/>
          <w:szCs w:val="32"/>
          <w:lang w:val="en-US" w:eastAsia="zh-CN"/>
        </w:rPr>
        <w:t>5</w:t>
      </w:r>
      <w:r>
        <w:rPr>
          <w:rFonts w:hint="default" w:ascii="Times New Roman" w:hAnsi="Times New Roman" w:eastAsia="方正仿宋简体" w:cs="Times New Roman"/>
          <w:b/>
          <w:bCs/>
          <w:color w:val="auto"/>
          <w:sz w:val="32"/>
          <w:szCs w:val="32"/>
        </w:rPr>
        <w:t>%以上。大部分群众对项目了解程度较高，政策宣传效果评为良好。</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黑体简体" w:cs="Times New Roman"/>
          <w:b/>
          <w:bCs/>
          <w:color w:val="auto"/>
          <w:sz w:val="32"/>
          <w:szCs w:val="32"/>
        </w:rPr>
      </w:pPr>
      <w:r>
        <w:rPr>
          <w:rFonts w:hint="default" w:ascii="Times New Roman" w:hAnsi="Times New Roman" w:eastAsia="方正黑体简体" w:cs="Times New Roman"/>
          <w:b/>
          <w:bCs/>
          <w:color w:val="auto"/>
          <w:sz w:val="32"/>
          <w:szCs w:val="32"/>
        </w:rPr>
        <w:t>四、评价结论</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该项目政策依据充分、完善，资金使用和项目管理较规范，通过项目实施，对提高我市残疾人生活水平、减轻残疾人经济负担、促进社会和谐与稳定方面起到积极作用。但也存项目绩效目</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标未细化量化</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项目执行过程中的档案资料内容签署不完整、不规范</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项目实施进度较滞后</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项目验收执行不规范</w:t>
      </w: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实地抽查项目个别存在资源闲置、效果不明显等问题。</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rPr>
        <w:t>根据《</w:t>
      </w:r>
      <w:r>
        <w:rPr>
          <w:rFonts w:hint="default" w:ascii="Times New Roman" w:hAnsi="Times New Roman" w:eastAsia="方正仿宋简体" w:cs="Times New Roman"/>
          <w:b/>
          <w:bCs/>
          <w:color w:val="auto"/>
          <w:sz w:val="32"/>
          <w:szCs w:val="32"/>
          <w:lang w:val="en-US" w:eastAsia="zh-CN"/>
        </w:rPr>
        <w:t>2024</w:t>
      </w:r>
      <w:r>
        <w:rPr>
          <w:rFonts w:hint="default" w:ascii="Times New Roman" w:hAnsi="Times New Roman" w:eastAsia="方正仿宋简体" w:cs="Times New Roman"/>
          <w:b/>
          <w:bCs/>
          <w:color w:val="auto"/>
          <w:sz w:val="32"/>
          <w:szCs w:val="32"/>
        </w:rPr>
        <w:t>年残疾人事业发展补助资金项目绩效评价指标体系》评分，得分</w:t>
      </w:r>
      <w:r>
        <w:rPr>
          <w:rFonts w:hint="default" w:ascii="Times New Roman" w:hAnsi="Times New Roman" w:eastAsia="方正仿宋简体" w:cs="Times New Roman"/>
          <w:b/>
          <w:bCs/>
          <w:color w:val="auto"/>
          <w:sz w:val="32"/>
          <w:szCs w:val="32"/>
          <w:lang w:val="en-US" w:eastAsia="zh-CN"/>
        </w:rPr>
        <w:t>96.54</w:t>
      </w:r>
      <w:r>
        <w:rPr>
          <w:rFonts w:hint="default" w:ascii="Times New Roman" w:hAnsi="Times New Roman" w:eastAsia="方正仿宋简体" w:cs="Times New Roman"/>
          <w:b/>
          <w:bCs/>
          <w:color w:val="auto"/>
          <w:sz w:val="32"/>
          <w:szCs w:val="32"/>
        </w:rPr>
        <w:t>分。</w:t>
      </w:r>
      <w:r>
        <w:rPr>
          <w:rFonts w:hint="default" w:ascii="Times New Roman" w:hAnsi="Times New Roman" w:eastAsia="方正仿宋简体" w:cs="Times New Roman"/>
          <w:b/>
          <w:bCs/>
          <w:color w:val="auto"/>
          <w:sz w:val="32"/>
          <w:szCs w:val="32"/>
          <w:lang w:eastAsia="zh-CN"/>
        </w:rPr>
        <w:t>具体详见附表</w:t>
      </w:r>
      <w:r>
        <w:rPr>
          <w:rFonts w:hint="default" w:ascii="Times New Roman" w:hAnsi="Times New Roman" w:eastAsia="方正仿宋简体" w:cs="Times New Roman"/>
          <w:b/>
          <w:bCs/>
          <w:color w:val="auto"/>
          <w:sz w:val="32"/>
          <w:szCs w:val="32"/>
          <w:lang w:val="en-US" w:eastAsia="zh-CN"/>
        </w:rPr>
        <w:t>1。</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黑体简体" w:cs="Times New Roman"/>
          <w:b/>
          <w:bCs/>
          <w:color w:val="auto"/>
          <w:sz w:val="32"/>
          <w:szCs w:val="32"/>
        </w:rPr>
      </w:pPr>
      <w:r>
        <w:rPr>
          <w:rFonts w:hint="default" w:ascii="Times New Roman" w:hAnsi="Times New Roman" w:eastAsia="方正黑体简体" w:cs="Times New Roman"/>
          <w:b/>
          <w:bCs/>
          <w:color w:val="auto"/>
          <w:sz w:val="32"/>
          <w:szCs w:val="32"/>
        </w:rPr>
        <w:t>五、存在主要问题</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（一）项目管理制度不完善</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市级层面</w:t>
      </w:r>
      <w:r>
        <w:rPr>
          <w:rFonts w:hint="default" w:ascii="Times New Roman" w:hAnsi="Times New Roman" w:eastAsia="方正仿宋简体" w:cs="Times New Roman"/>
          <w:b/>
          <w:bCs/>
          <w:color w:val="auto"/>
          <w:sz w:val="32"/>
          <w:szCs w:val="32"/>
          <w:lang w:eastAsia="zh-CN"/>
        </w:rPr>
        <w:t>按照项目管理“五个一”工作机制，制定了《关于做好2024年残疾人事业发展补助资金项目绩效管理工作的通知》，</w:t>
      </w:r>
      <w:r>
        <w:rPr>
          <w:rFonts w:hint="default" w:ascii="Times New Roman" w:hAnsi="Times New Roman" w:eastAsia="方正仿宋简体" w:cs="Times New Roman"/>
          <w:b/>
          <w:bCs/>
          <w:color w:val="auto"/>
          <w:sz w:val="32"/>
          <w:szCs w:val="32"/>
        </w:rPr>
        <w:t>管理规范健全，</w:t>
      </w:r>
      <w:r>
        <w:rPr>
          <w:rFonts w:hint="default" w:ascii="Times New Roman" w:hAnsi="Times New Roman" w:eastAsia="方正仿宋简体" w:cs="Times New Roman"/>
          <w:b/>
          <w:bCs/>
          <w:color w:val="auto"/>
          <w:sz w:val="32"/>
          <w:szCs w:val="32"/>
          <w:lang w:val="en-US" w:eastAsia="zh-CN"/>
        </w:rPr>
        <w:t>三区项目相关管理制度基本完善，与实际情况相符，但个别项目制度在区级层面仍需完善，如江阳区未制定残疾人基本康复服务、0—6岁残疾儿童康复救助项目实施方案；</w:t>
      </w:r>
      <w:r>
        <w:rPr>
          <w:rFonts w:hint="default" w:ascii="Times New Roman" w:hAnsi="Times New Roman" w:eastAsia="方正仿宋简体" w:cs="Times New Roman"/>
          <w:b/>
          <w:bCs/>
          <w:color w:val="auto"/>
          <w:sz w:val="32"/>
          <w:szCs w:val="32"/>
          <w:lang w:eastAsia="zh-CN"/>
        </w:rPr>
        <w:t>龙马潭区未制定残疾人基本康复服务、辅具适配项目、0—6岁</w:t>
      </w:r>
      <w:r>
        <w:rPr>
          <w:rFonts w:hint="default" w:ascii="Times New Roman" w:hAnsi="Times New Roman" w:eastAsia="方正仿宋简体" w:cs="Times New Roman"/>
          <w:b/>
          <w:bCs/>
          <w:color w:val="auto"/>
          <w:sz w:val="32"/>
          <w:szCs w:val="32"/>
          <w:lang w:val="en-US" w:eastAsia="zh-CN"/>
        </w:rPr>
        <w:t>残疾儿童康复救助项目实施方案。</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（二）项目档案资料管理不规范</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档案管理规范性不足。江阳区、龙马潭区残疾人康复服务子项目未严格执行《实施方案》，缺少心理健康服务记录及服务对象名单，无法核验实施成效，影响项目监管与绩效评价；龙马潭区“残疾人之家”活动资料主要以电子档形式留存，未装订成册；项目推进时效性欠佳，江阳区部分困难重度残疾人家庭无障碍改造验收工作最迟延至12月完成。</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eastAsia="zh-CN"/>
        </w:rPr>
      </w:pPr>
      <w:r>
        <w:rPr>
          <w:rFonts w:hint="default" w:ascii="Times New Roman" w:hAnsi="Times New Roman" w:eastAsia="方正仿宋简体" w:cs="Times New Roman"/>
          <w:b/>
          <w:bCs/>
          <w:color w:val="auto"/>
          <w:sz w:val="32"/>
          <w:szCs w:val="32"/>
          <w:lang w:val="en-US" w:eastAsia="zh-CN"/>
        </w:rPr>
        <w:t>（三）“残疾人之家”建设协议服务期限缺失。</w:t>
      </w:r>
      <w:r>
        <w:rPr>
          <w:rFonts w:hint="default" w:ascii="Times New Roman" w:hAnsi="Times New Roman" w:eastAsia="方正仿宋简体" w:cs="Times New Roman"/>
          <w:b/>
          <w:bCs/>
          <w:color w:val="auto"/>
          <w:sz w:val="32"/>
          <w:szCs w:val="32"/>
        </w:rPr>
        <w:t>江阳区、龙马潭区残联在“残疾人之家”建设协议中未明确服务期限，缺乏退出及接续机制，易因运营方经营困难等原因导致项目建成后短期内停摆，难以形成持续服务能力</w:t>
      </w:r>
      <w:r>
        <w:rPr>
          <w:rFonts w:hint="default" w:ascii="Times New Roman" w:hAnsi="Times New Roman" w:eastAsia="方正仿宋简体" w:cs="Times New Roman"/>
          <w:b/>
          <w:bCs/>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黑体简体" w:cs="Times New Roman"/>
          <w:b/>
          <w:bCs/>
          <w:color w:val="auto"/>
          <w:sz w:val="32"/>
          <w:szCs w:val="32"/>
        </w:rPr>
      </w:pPr>
      <w:r>
        <w:rPr>
          <w:rFonts w:hint="default" w:ascii="Times New Roman" w:hAnsi="Times New Roman" w:eastAsia="方正黑体简体" w:cs="Times New Roman"/>
          <w:b/>
          <w:bCs/>
          <w:color w:val="auto"/>
          <w:sz w:val="32"/>
          <w:szCs w:val="32"/>
        </w:rPr>
        <w:t>六、改进建议</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rPr>
        <w:t>（一）完善项目制度体系。区级残联应于1个月内对标市级文件，补充制定残疾人基本康复、0—6岁残疾儿童康复救助、辅具适配等项目实施方案，明确目标任务、实施流程、绩效指标与时间节点，形成上下贯通、操作性强的制度闭环。</w:t>
      </w:r>
    </w:p>
    <w:p>
      <w:pPr>
        <w:keepNext w:val="0"/>
        <w:keepLines w:val="0"/>
        <w:pageBreakBefore w:val="0"/>
        <w:widowControl w:val="0"/>
        <w:kinsoku/>
        <w:wordWrap/>
        <w:overflowPunct/>
        <w:topLinePunct w:val="0"/>
        <w:autoSpaceDE/>
        <w:autoSpaceDN/>
        <w:bidi w:val="0"/>
        <w:spacing w:line="600" w:lineRule="exact"/>
        <w:ind w:left="0" w:leftChars="0" w:firstLine="643" w:firstLineChars="200"/>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rPr>
        <w:t>（二）强化档案全过程管理。区级残联应严格执行项目管理“五个一”机制，立即开展项目档案专项清理，对照档案清单逐项核查，按照“一项目一册”标准，同步规范整理服务名单、活动记录、验收资料等纸质及电子档案，确保资料完整、真实、可追溯。</w:t>
      </w:r>
      <w:r>
        <w:rPr>
          <w:rFonts w:hint="default" w:ascii="Times New Roman" w:hAnsi="Times New Roman" w:eastAsia="方正仿宋简体" w:cs="Times New Roman"/>
          <w:b/>
          <w:bCs/>
          <w:color w:val="auto"/>
          <w:sz w:val="32"/>
          <w:szCs w:val="32"/>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beforeLines="0"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r>
        <w:rPr>
          <w:rFonts w:hint="default" w:ascii="Times New Roman" w:hAnsi="Times New Roman" w:eastAsia="方正仿宋简体" w:cs="Times New Roman"/>
          <w:b/>
          <w:bCs/>
          <w:color w:val="auto"/>
          <w:sz w:val="32"/>
          <w:szCs w:val="32"/>
          <w:lang w:eastAsia="zh-CN"/>
        </w:rPr>
        <w:t>（</w:t>
      </w:r>
      <w:r>
        <w:rPr>
          <w:rFonts w:hint="default" w:ascii="Times New Roman" w:hAnsi="Times New Roman" w:eastAsia="方正仿宋简体" w:cs="Times New Roman"/>
          <w:b/>
          <w:bCs/>
          <w:color w:val="auto"/>
          <w:sz w:val="32"/>
          <w:szCs w:val="32"/>
        </w:rPr>
        <w:t>三）健全长效运营机制。区残联应通过补充协议明确已建成“残疾人之家”最低服务年限及退出、接续条款；主动作为，统筹整合辅助性就业补助、日间照料补贴等政策资源，构建多元投入、持续激励的运营体系，确保项目长期发挥效益。</w:t>
      </w:r>
    </w:p>
    <w:p>
      <w:pPr>
        <w:pStyle w:val="8"/>
        <w:keepNext w:val="0"/>
        <w:keepLines w:val="0"/>
        <w:pageBreakBefore w:val="0"/>
        <w:widowControl w:val="0"/>
        <w:kinsoku/>
        <w:wordWrap/>
        <w:overflowPunct/>
        <w:topLinePunct w:val="0"/>
        <w:autoSpaceDE/>
        <w:autoSpaceDN/>
        <w:bidi w:val="0"/>
        <w:adjustRightInd/>
        <w:snapToGrid/>
        <w:spacing w:beforeLines="0" w:line="600" w:lineRule="exact"/>
        <w:ind w:left="0" w:leftChars="0" w:firstLine="643" w:firstLineChars="200"/>
        <w:textAlignment w:val="auto"/>
        <w:rPr>
          <w:rFonts w:hint="default" w:ascii="Times New Roman" w:hAnsi="Times New Roman" w:eastAsia="方正仿宋简体" w:cs="Times New Roman"/>
          <w:b/>
          <w:bCs/>
          <w:color w:val="auto"/>
          <w:sz w:val="32"/>
          <w:szCs w:val="32"/>
        </w:rPr>
      </w:pPr>
    </w:p>
    <w:p>
      <w:pPr>
        <w:pStyle w:val="8"/>
        <w:keepNext w:val="0"/>
        <w:keepLines w:val="0"/>
        <w:pageBreakBefore w:val="0"/>
        <w:widowControl w:val="0"/>
        <w:kinsoku/>
        <w:wordWrap/>
        <w:overflowPunct/>
        <w:topLinePunct w:val="0"/>
        <w:autoSpaceDE/>
        <w:autoSpaceDN/>
        <w:bidi w:val="0"/>
        <w:adjustRightInd/>
        <w:snapToGrid/>
        <w:spacing w:beforeLines="0" w:line="600" w:lineRule="exact"/>
        <w:ind w:left="1668" w:leftChars="305" w:hanging="1028" w:hangingChars="320"/>
        <w:textAlignment w:val="auto"/>
        <w:rPr>
          <w:rFonts w:hint="default" w:ascii="Times New Roman" w:hAnsi="Times New Roman" w:eastAsia="方正仿宋简体" w:cs="Times New Roman"/>
          <w:b/>
          <w:bCs/>
          <w:color w:val="auto"/>
          <w:kern w:val="2"/>
          <w:sz w:val="32"/>
          <w:szCs w:val="32"/>
          <w:lang w:val="en-US" w:eastAsia="zh-CN" w:bidi="ar-SA"/>
        </w:rPr>
      </w:pPr>
      <w:r>
        <w:rPr>
          <w:rFonts w:hint="default" w:ascii="Times New Roman" w:hAnsi="Times New Roman" w:eastAsia="方正仿宋简体" w:cs="Times New Roman"/>
          <w:b/>
          <w:bCs/>
          <w:color w:val="auto"/>
          <w:kern w:val="2"/>
          <w:sz w:val="32"/>
          <w:szCs w:val="32"/>
          <w:lang w:val="en-US" w:eastAsia="zh-CN" w:bidi="ar-SA"/>
        </w:rPr>
        <w:t>附表：1.残疾人事业发展市级补助资金项目绩效评价指标体</w:t>
      </w:r>
      <w:bookmarkStart w:id="80" w:name="_GoBack"/>
      <w:bookmarkEnd w:id="80"/>
      <w:r>
        <w:rPr>
          <w:rFonts w:hint="default" w:ascii="Times New Roman" w:hAnsi="Times New Roman" w:eastAsia="方正仿宋简体" w:cs="Times New Roman"/>
          <w:b/>
          <w:bCs/>
          <w:color w:val="auto"/>
          <w:kern w:val="2"/>
          <w:sz w:val="32"/>
          <w:szCs w:val="32"/>
          <w:lang w:val="en-US" w:eastAsia="zh-CN" w:bidi="ar-SA"/>
        </w:rPr>
        <w:t>系自评表</w:t>
      </w:r>
    </w:p>
    <w:p>
      <w:pPr>
        <w:pStyle w:val="8"/>
        <w:keepNext w:val="0"/>
        <w:keepLines w:val="0"/>
        <w:pageBreakBefore w:val="0"/>
        <w:widowControl w:val="0"/>
        <w:kinsoku/>
        <w:wordWrap/>
        <w:overflowPunct/>
        <w:topLinePunct w:val="0"/>
        <w:autoSpaceDE/>
        <w:autoSpaceDN/>
        <w:bidi w:val="0"/>
        <w:adjustRightInd/>
        <w:snapToGrid/>
        <w:spacing w:beforeLines="0" w:line="600" w:lineRule="exact"/>
        <w:ind w:left="0" w:leftChars="0" w:firstLine="1606" w:firstLineChars="500"/>
        <w:textAlignment w:val="auto"/>
        <w:rPr>
          <w:rFonts w:hint="default" w:ascii="Times New Roman" w:hAnsi="Times New Roman" w:eastAsia="方正仿宋简体" w:cs="Times New Roman"/>
          <w:b/>
          <w:bCs/>
          <w:color w:val="auto"/>
          <w:kern w:val="2"/>
          <w:sz w:val="32"/>
          <w:szCs w:val="32"/>
          <w:lang w:val="en-US" w:eastAsia="zh-CN" w:bidi="ar-SA"/>
        </w:rPr>
      </w:pPr>
      <w:r>
        <w:rPr>
          <w:rFonts w:hint="default" w:ascii="Times New Roman" w:hAnsi="Times New Roman" w:eastAsia="方正仿宋简体" w:cs="Times New Roman"/>
          <w:b/>
          <w:bCs/>
          <w:color w:val="auto"/>
          <w:kern w:val="2"/>
          <w:sz w:val="32"/>
          <w:szCs w:val="32"/>
          <w:lang w:val="en-US" w:eastAsia="zh-CN" w:bidi="ar-SA"/>
        </w:rPr>
        <w:t>2.残疾人事业发展市级补助资金绩效自评实地踏勘</w:t>
      </w:r>
    </w:p>
    <w:p>
      <w:pPr>
        <w:pStyle w:val="8"/>
        <w:keepNext w:val="0"/>
        <w:keepLines w:val="0"/>
        <w:pageBreakBefore w:val="0"/>
        <w:widowControl w:val="0"/>
        <w:kinsoku/>
        <w:wordWrap/>
        <w:overflowPunct/>
        <w:topLinePunct w:val="0"/>
        <w:autoSpaceDE/>
        <w:autoSpaceDN/>
        <w:bidi w:val="0"/>
        <w:adjustRightInd/>
        <w:snapToGrid/>
        <w:spacing w:beforeLines="0" w:line="600" w:lineRule="exact"/>
        <w:ind w:left="0" w:leftChars="0" w:firstLine="1667" w:firstLineChars="519"/>
        <w:textAlignment w:val="auto"/>
        <w:rPr>
          <w:rFonts w:hint="default" w:ascii="Times New Roman" w:hAnsi="Times New Roman" w:eastAsia="方正仿宋简体" w:cs="Times New Roman"/>
          <w:b/>
          <w:bCs/>
          <w:color w:val="auto"/>
          <w:kern w:val="2"/>
          <w:sz w:val="32"/>
          <w:szCs w:val="32"/>
          <w:lang w:val="en-US" w:eastAsia="zh-CN" w:bidi="ar-SA"/>
        </w:rPr>
      </w:pPr>
      <w:r>
        <w:rPr>
          <w:rFonts w:hint="default" w:ascii="Times New Roman" w:hAnsi="Times New Roman" w:eastAsia="方正仿宋简体" w:cs="Times New Roman"/>
          <w:b/>
          <w:bCs/>
          <w:color w:val="auto"/>
          <w:kern w:val="2"/>
          <w:sz w:val="32"/>
          <w:szCs w:val="32"/>
          <w:lang w:val="en-US" w:eastAsia="zh-CN" w:bidi="ar-SA"/>
        </w:rPr>
        <w:t>点位清单表</w:t>
      </w:r>
    </w:p>
    <w:p>
      <w:pPr>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p>
    <w:p>
      <w:pPr>
        <w:rPr>
          <w:rFonts w:hint="default" w:ascii="Times New Roman" w:hAnsi="Times New Roman" w:eastAsia="方正小标宋简体" w:cs="Times New Roman"/>
          <w:b/>
          <w:bCs/>
          <w:sz w:val="44"/>
          <w:szCs w:val="44"/>
        </w:rPr>
      </w:pPr>
      <w:r>
        <w:rPr>
          <w:rFonts w:hint="default" w:ascii="Times New Roman" w:hAnsi="Times New Roman" w:eastAsia="方正小标宋简体" w:cs="Times New Roman"/>
          <w:b/>
          <w:bCs/>
          <w:sz w:val="44"/>
          <w:szCs w:val="44"/>
        </w:rPr>
        <w:br w:type="page"/>
      </w:r>
    </w:p>
    <w:p>
      <w:pPr>
        <w:pStyle w:val="2"/>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b/>
          <w:bCs/>
          <w:sz w:val="32"/>
          <w:szCs w:val="32"/>
          <w:lang w:eastAsia="zh-CN"/>
        </w:rPr>
        <w:t>附</w:t>
      </w:r>
      <w:r>
        <w:rPr>
          <w:rFonts w:hint="default" w:ascii="Times New Roman" w:hAnsi="Times New Roman" w:eastAsia="方正黑体简体" w:cs="Times New Roman"/>
          <w:b/>
          <w:bCs/>
          <w:sz w:val="32"/>
          <w:szCs w:val="32"/>
          <w:lang w:val="en-US" w:eastAsia="zh-CN"/>
        </w:rPr>
        <w:t>表1</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方正小标宋简体" w:cs="Times New Roman"/>
          <w:b/>
          <w:bCs/>
          <w:sz w:val="44"/>
          <w:szCs w:val="44"/>
          <w:lang w:eastAsia="zh-CN"/>
        </w:rPr>
      </w:pPr>
      <w:r>
        <w:rPr>
          <w:rFonts w:hint="default" w:ascii="Times New Roman" w:hAnsi="Times New Roman" w:eastAsia="方正小标宋简体" w:cs="Times New Roman"/>
          <w:b/>
          <w:bCs/>
          <w:sz w:val="44"/>
          <w:szCs w:val="44"/>
          <w:lang w:eastAsia="zh-CN"/>
        </w:rPr>
        <w:t>残疾人事业发展市级补助资金</w:t>
      </w:r>
      <w:r>
        <w:rPr>
          <w:rFonts w:hint="default" w:ascii="Times New Roman" w:hAnsi="Times New Roman" w:eastAsia="方正小标宋简体" w:cs="Times New Roman"/>
          <w:b/>
          <w:bCs/>
          <w:sz w:val="44"/>
          <w:szCs w:val="44"/>
        </w:rPr>
        <w:t>绩效评价指标</w:t>
      </w:r>
      <w:r>
        <w:rPr>
          <w:rFonts w:hint="default" w:ascii="Times New Roman" w:hAnsi="Times New Roman" w:eastAsia="方正小标宋简体" w:cs="Times New Roman"/>
          <w:b/>
          <w:bCs/>
          <w:sz w:val="44"/>
          <w:szCs w:val="44"/>
          <w:lang w:val="en-US" w:eastAsia="zh-CN"/>
        </w:rPr>
        <w:t xml:space="preserve"> </w:t>
      </w:r>
      <w:r>
        <w:rPr>
          <w:rFonts w:hint="default" w:ascii="Times New Roman" w:hAnsi="Times New Roman" w:eastAsia="方正小标宋简体" w:cs="Times New Roman"/>
          <w:b/>
          <w:bCs/>
          <w:sz w:val="44"/>
          <w:szCs w:val="44"/>
        </w:rPr>
        <w:t>体系</w:t>
      </w:r>
      <w:r>
        <w:rPr>
          <w:rFonts w:hint="default" w:ascii="Times New Roman" w:hAnsi="Times New Roman" w:eastAsia="方正小标宋简体" w:cs="Times New Roman"/>
          <w:b/>
          <w:bCs/>
          <w:sz w:val="44"/>
          <w:szCs w:val="44"/>
          <w:lang w:eastAsia="zh-CN"/>
        </w:rPr>
        <w:t>自评表</w:t>
      </w:r>
    </w:p>
    <w:tbl>
      <w:tblPr>
        <w:tblStyle w:val="19"/>
        <w:tblW w:w="10095" w:type="dxa"/>
        <w:tblInd w:w="-4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55"/>
        <w:gridCol w:w="705"/>
        <w:gridCol w:w="1035"/>
        <w:gridCol w:w="1322"/>
        <w:gridCol w:w="703"/>
        <w:gridCol w:w="3885"/>
        <w:gridCol w:w="780"/>
        <w:gridCol w:w="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4920" w:type="dxa"/>
            <w:gridSpan w:val="5"/>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2"/>
                <w:rFonts w:hint="default" w:ascii="Times New Roman" w:hAnsi="Times New Roman" w:eastAsia="方正仿宋简体" w:cs="Times New Roman"/>
                <w:b/>
                <w:bCs/>
                <w:sz w:val="22"/>
                <w:szCs w:val="22"/>
                <w:lang w:val="en-US" w:eastAsia="zh-CN" w:bidi="ar"/>
              </w:rPr>
              <w:t>绩效评价指标</w:t>
            </w:r>
          </w:p>
        </w:tc>
        <w:tc>
          <w:tcPr>
            <w:tcW w:w="388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2"/>
                <w:rFonts w:hint="default" w:ascii="Times New Roman" w:hAnsi="Times New Roman" w:eastAsia="方正仿宋简体" w:cs="Times New Roman"/>
                <w:b/>
                <w:bCs/>
                <w:sz w:val="22"/>
                <w:szCs w:val="22"/>
                <w:lang w:val="en-US" w:eastAsia="zh-CN" w:bidi="ar"/>
              </w:rPr>
              <w:t>指标解释</w:t>
            </w:r>
          </w:p>
        </w:tc>
        <w:tc>
          <w:tcPr>
            <w:tcW w:w="780"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Style w:val="42"/>
                <w:rFonts w:hint="default" w:ascii="Times New Roman" w:hAnsi="Times New Roman" w:eastAsia="方正仿宋简体" w:cs="Times New Roman"/>
                <w:b/>
                <w:bCs/>
                <w:sz w:val="22"/>
                <w:szCs w:val="22"/>
                <w:lang w:val="en-US" w:eastAsia="zh-CN" w:bidi="ar"/>
              </w:rPr>
            </w:pPr>
            <w:r>
              <w:rPr>
                <w:rStyle w:val="42"/>
                <w:rFonts w:hint="default" w:ascii="Times New Roman" w:hAnsi="Times New Roman" w:eastAsia="方正仿宋简体" w:cs="Times New Roman"/>
                <w:b/>
                <w:bCs/>
                <w:sz w:val="22"/>
                <w:szCs w:val="22"/>
                <w:lang w:val="en-US" w:eastAsia="zh-CN" w:bidi="ar"/>
              </w:rPr>
              <w:t>得分</w:t>
            </w:r>
          </w:p>
        </w:tc>
        <w:tc>
          <w:tcPr>
            <w:tcW w:w="510"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Style w:val="42"/>
                <w:rFonts w:hint="default" w:ascii="Times New Roman" w:hAnsi="Times New Roman" w:eastAsia="方正仿宋简体" w:cs="Times New Roman"/>
                <w:b/>
                <w:bCs/>
                <w:sz w:val="22"/>
                <w:szCs w:val="22"/>
                <w:lang w:val="en-US" w:eastAsia="zh-CN" w:bidi="ar"/>
              </w:rPr>
            </w:pPr>
            <w:r>
              <w:rPr>
                <w:rStyle w:val="42"/>
                <w:rFonts w:hint="default" w:ascii="Times New Roman" w:hAnsi="Times New Roman" w:eastAsia="方正仿宋简体" w:cs="Times New Roman"/>
                <w:b/>
                <w:bCs/>
                <w:sz w:val="22"/>
                <w:szCs w:val="22"/>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2"/>
                <w:rFonts w:hint="default" w:ascii="Times New Roman" w:hAnsi="Times New Roman" w:eastAsia="方正仿宋简体" w:cs="Times New Roman"/>
                <w:b/>
                <w:bCs/>
                <w:sz w:val="22"/>
                <w:szCs w:val="22"/>
                <w:lang w:val="en-US" w:eastAsia="zh-CN" w:bidi="ar"/>
              </w:rPr>
              <w:t>一级指标</w:t>
            </w:r>
          </w:p>
        </w:tc>
        <w:tc>
          <w:tcPr>
            <w:tcW w:w="1740" w:type="dxa"/>
            <w:gridSpan w:val="2"/>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2"/>
                <w:rFonts w:hint="default" w:ascii="Times New Roman" w:hAnsi="Times New Roman" w:eastAsia="方正仿宋简体" w:cs="Times New Roman"/>
                <w:b/>
                <w:bCs/>
                <w:sz w:val="22"/>
                <w:szCs w:val="22"/>
                <w:lang w:val="en-US" w:eastAsia="zh-CN" w:bidi="ar"/>
              </w:rPr>
              <w:t>二级指标</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2"/>
                <w:rFonts w:hint="default" w:ascii="Times New Roman" w:hAnsi="Times New Roman" w:eastAsia="方正仿宋简体" w:cs="Times New Roman"/>
                <w:b/>
                <w:bCs/>
                <w:sz w:val="22"/>
                <w:szCs w:val="22"/>
                <w:lang w:val="en-US" w:eastAsia="zh-CN" w:bidi="ar"/>
              </w:rPr>
              <w:t>三级指标</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2"/>
                <w:rFonts w:hint="default" w:ascii="Times New Roman" w:hAnsi="Times New Roman" w:eastAsia="方正仿宋简体" w:cs="Times New Roman"/>
                <w:b/>
                <w:bCs/>
                <w:sz w:val="22"/>
                <w:szCs w:val="22"/>
                <w:lang w:val="en-US" w:eastAsia="zh-CN" w:bidi="ar"/>
              </w:rPr>
              <w:t>指标</w:t>
            </w:r>
            <w:r>
              <w:rPr>
                <w:rStyle w:val="44"/>
                <w:rFonts w:hint="default" w:ascii="Times New Roman" w:hAnsi="Times New Roman" w:eastAsia="方正仿宋简体" w:cs="Times New Roman"/>
                <w:b/>
                <w:bCs/>
                <w:sz w:val="22"/>
                <w:szCs w:val="22"/>
                <w:lang w:val="en-US" w:eastAsia="zh-CN" w:bidi="ar"/>
              </w:rPr>
              <w:br w:type="textWrapping"/>
            </w:r>
            <w:r>
              <w:rPr>
                <w:rStyle w:val="42"/>
                <w:rFonts w:hint="default" w:ascii="Times New Roman" w:hAnsi="Times New Roman" w:eastAsia="方正仿宋简体" w:cs="Times New Roman"/>
                <w:b/>
                <w:bCs/>
                <w:sz w:val="22"/>
                <w:szCs w:val="22"/>
                <w:lang w:val="en-US" w:eastAsia="zh-CN" w:bidi="ar"/>
              </w:rPr>
              <w:t>分值</w:t>
            </w:r>
          </w:p>
        </w:tc>
        <w:tc>
          <w:tcPr>
            <w:tcW w:w="388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80"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510"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通用指标</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54</w:t>
            </w:r>
            <w:r>
              <w:rPr>
                <w:rStyle w:val="43"/>
                <w:rFonts w:hint="default" w:ascii="Times New Roman" w:hAnsi="Times New Roman" w:eastAsia="方正仿宋简体" w:cs="Times New Roman"/>
                <w:sz w:val="22"/>
                <w:szCs w:val="22"/>
                <w:lang w:val="en-US" w:eastAsia="zh-CN" w:bidi="ar"/>
              </w:rPr>
              <w:t>分）</w:t>
            </w:r>
          </w:p>
        </w:tc>
        <w:tc>
          <w:tcPr>
            <w:tcW w:w="1740" w:type="dxa"/>
            <w:gridSpan w:val="2"/>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项目决策</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10</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决策程序</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项目决策程序是否严密</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42"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规划论证</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4</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项目规划论证是否符合中省市要求，项目绩效目标设置是否科学合理</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4</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32"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资金投向</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项目资金是否与项目总体规划、相关行业事业发展相匹配，是否聚焦重大任务、重点领域、重点环节和重点项目</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项目管理</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22</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制度办法</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6</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项目制度办法是否体系健全、要素完备；项目制度办法是否落实。</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4</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72"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分配管理</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10</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项目资金分配因素选取、权重设置、区域分布，项目管理、审批是否符合管理要求</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10</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2"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绩效监管</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6</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管资金、项目、政策是否管绩效，项目绩效监管是否按要求开展，对下指导是否有力有效</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6</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2"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项目实施</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12</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预算执行</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6</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项目资金财政拨付、单位执行和地方配套到位情况</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5.94</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资金使用</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6</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资金使用拨付、项目实施是否符合规定</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6</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42" w:hRule="exact"/>
        </w:trPr>
        <w:tc>
          <w:tcPr>
            <w:tcW w:w="115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通用指标</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54</w:t>
            </w:r>
            <w:r>
              <w:rPr>
                <w:rStyle w:val="43"/>
                <w:rFonts w:hint="default" w:ascii="Times New Roman" w:hAnsi="Times New Roman" w:eastAsia="方正仿宋简体" w:cs="Times New Roman"/>
                <w:sz w:val="22"/>
                <w:szCs w:val="22"/>
                <w:lang w:val="en-US" w:eastAsia="zh-CN" w:bidi="ar"/>
              </w:rPr>
              <w:t>分）</w:t>
            </w:r>
          </w:p>
        </w:tc>
        <w:tc>
          <w:tcPr>
            <w:tcW w:w="1740" w:type="dxa"/>
            <w:gridSpan w:val="2"/>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项目结果</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10</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目标完成</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6</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项目是否完成预期目标，实施结果是否与绩效目标相匹配，反映目标实现程度</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6</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完成时效</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4</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项目实际完成时间与计划完成时间的比较</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4</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专用指标</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30</w:t>
            </w:r>
            <w:r>
              <w:rPr>
                <w:rStyle w:val="43"/>
                <w:rFonts w:hint="default" w:ascii="Times New Roman" w:hAnsi="Times New Roman" w:eastAsia="方正仿宋简体" w:cs="Times New Roman"/>
                <w:sz w:val="22"/>
                <w:szCs w:val="22"/>
                <w:lang w:val="en-US" w:eastAsia="zh-CN" w:bidi="ar"/>
              </w:rPr>
              <w:t>分）</w:t>
            </w:r>
          </w:p>
        </w:tc>
        <w:tc>
          <w:tcPr>
            <w:tcW w:w="70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民生保障（</w:t>
            </w:r>
            <w:r>
              <w:rPr>
                <w:rStyle w:val="41"/>
                <w:rFonts w:hint="default" w:ascii="Times New Roman" w:hAnsi="Times New Roman" w:eastAsia="方正仿宋简体" w:cs="Times New Roman"/>
                <w:sz w:val="22"/>
                <w:szCs w:val="22"/>
                <w:lang w:val="en-US" w:eastAsia="zh-CN" w:bidi="ar"/>
              </w:rPr>
              <w:t>30</w:t>
            </w:r>
            <w:r>
              <w:rPr>
                <w:rStyle w:val="43"/>
                <w:rFonts w:hint="default" w:ascii="Times New Roman" w:hAnsi="Times New Roman" w:eastAsia="方正仿宋简体" w:cs="Times New Roman"/>
                <w:sz w:val="22"/>
                <w:szCs w:val="22"/>
                <w:lang w:val="en-US" w:eastAsia="zh-CN" w:bidi="ar"/>
              </w:rPr>
              <w:t>分）</w:t>
            </w:r>
          </w:p>
        </w:tc>
        <w:tc>
          <w:tcPr>
            <w:tcW w:w="103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共性指标</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14</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区域均衡性</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项目资金分配体现的均衡公平情况</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对象精准性</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资金实际支持对象是否符合管理要求，是否符合支持对象范围</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52"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标准合理性</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资金实际补贴标准是否符合资金管理办法规定的补助标准，是否及时按标准兑现</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12"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群众满意度</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资金涉及相关受益群体、支持对象的满意度调查访谈情况</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restart"/>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专用指标</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30</w:t>
            </w:r>
            <w:r>
              <w:rPr>
                <w:rStyle w:val="43"/>
                <w:rFonts w:hint="default" w:ascii="Times New Roman" w:hAnsi="Times New Roman" w:eastAsia="方正仿宋简体" w:cs="Times New Roman"/>
                <w:sz w:val="22"/>
                <w:szCs w:val="22"/>
                <w:lang w:val="en-US" w:eastAsia="zh-CN" w:bidi="ar"/>
              </w:rPr>
              <w:t>分）</w:t>
            </w:r>
          </w:p>
        </w:tc>
        <w:tc>
          <w:tcPr>
            <w:tcW w:w="705" w:type="dxa"/>
            <w:vMerge w:val="restart"/>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民生保障（</w:t>
            </w:r>
            <w:r>
              <w:rPr>
                <w:rStyle w:val="41"/>
                <w:rFonts w:hint="default" w:ascii="Times New Roman" w:hAnsi="Times New Roman" w:eastAsia="方正仿宋简体" w:cs="Times New Roman"/>
                <w:sz w:val="22"/>
                <w:szCs w:val="22"/>
                <w:lang w:val="en-US" w:eastAsia="zh-CN" w:bidi="ar"/>
              </w:rPr>
              <w:t>30</w:t>
            </w:r>
            <w:r>
              <w:rPr>
                <w:rStyle w:val="43"/>
                <w:rFonts w:hint="default" w:ascii="Times New Roman" w:hAnsi="Times New Roman" w:eastAsia="方正仿宋简体" w:cs="Times New Roman"/>
                <w:sz w:val="22"/>
                <w:szCs w:val="22"/>
                <w:lang w:val="en-US" w:eastAsia="zh-CN" w:bidi="ar"/>
              </w:rPr>
              <w:t>分）</w:t>
            </w:r>
          </w:p>
        </w:tc>
        <w:tc>
          <w:tcPr>
            <w:tcW w:w="103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基础管理（</w:t>
            </w:r>
            <w:r>
              <w:rPr>
                <w:rStyle w:val="41"/>
                <w:rFonts w:hint="default" w:ascii="Times New Roman" w:hAnsi="Times New Roman" w:eastAsia="方正仿宋简体" w:cs="Times New Roman"/>
                <w:sz w:val="22"/>
                <w:szCs w:val="22"/>
                <w:lang w:val="en-US" w:eastAsia="zh-CN" w:bidi="ar"/>
              </w:rPr>
              <w:t>10</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审核把关</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项目申报是否真实准确</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申请便捷性</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反映残疾人补助资金申请是否便捷</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信息公开及时性</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考核确定拟受益对象后信息公开及时程度</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平台填报准确率</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目标任务在</w:t>
            </w:r>
            <w:r>
              <w:rPr>
                <w:rStyle w:val="43"/>
                <w:rFonts w:hint="eastAsia" w:eastAsia="方正仿宋简体" w:cs="Times New Roman"/>
                <w:sz w:val="22"/>
                <w:szCs w:val="22"/>
                <w:lang w:val="en-US" w:eastAsia="zh-CN" w:bidi="ar"/>
              </w:rPr>
              <w:t>中国残联</w:t>
            </w:r>
            <w:r>
              <w:rPr>
                <w:rStyle w:val="43"/>
                <w:rFonts w:hint="default" w:ascii="Times New Roman" w:hAnsi="Times New Roman" w:eastAsia="方正仿宋简体" w:cs="Times New Roman"/>
                <w:sz w:val="22"/>
                <w:szCs w:val="22"/>
                <w:lang w:val="en-US" w:eastAsia="zh-CN" w:bidi="ar"/>
              </w:rPr>
              <w:t>及</w:t>
            </w:r>
            <w:r>
              <w:rPr>
                <w:rStyle w:val="41"/>
                <w:rFonts w:hint="default" w:ascii="Times New Roman" w:hAnsi="Times New Roman" w:eastAsia="方正仿宋简体" w:cs="Times New Roman"/>
                <w:sz w:val="22"/>
                <w:szCs w:val="22"/>
                <w:lang w:val="en-US" w:eastAsia="zh-CN" w:bidi="ar"/>
              </w:rPr>
              <w:t>“</w:t>
            </w:r>
            <w:r>
              <w:rPr>
                <w:rStyle w:val="43"/>
                <w:rFonts w:hint="default" w:ascii="Times New Roman" w:hAnsi="Times New Roman" w:eastAsia="方正仿宋简体" w:cs="Times New Roman"/>
                <w:sz w:val="22"/>
                <w:szCs w:val="22"/>
                <w:lang w:val="en-US" w:eastAsia="zh-CN" w:bidi="ar"/>
              </w:rPr>
              <w:t>量服</w:t>
            </w:r>
            <w:r>
              <w:rPr>
                <w:rStyle w:val="41"/>
                <w:rFonts w:hint="default" w:ascii="Times New Roman" w:hAnsi="Times New Roman" w:eastAsia="方正仿宋简体" w:cs="Times New Roman"/>
                <w:sz w:val="22"/>
                <w:szCs w:val="22"/>
                <w:lang w:val="en-US" w:eastAsia="zh-CN" w:bidi="ar"/>
              </w:rPr>
              <w:t>”</w:t>
            </w:r>
            <w:r>
              <w:rPr>
                <w:rStyle w:val="43"/>
                <w:rFonts w:hint="default" w:ascii="Times New Roman" w:hAnsi="Times New Roman" w:eastAsia="方正仿宋简体" w:cs="Times New Roman"/>
                <w:sz w:val="22"/>
                <w:szCs w:val="22"/>
                <w:lang w:val="en-US" w:eastAsia="zh-CN" w:bidi="ar"/>
              </w:rPr>
              <w:t>平台填报率</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Style w:val="43"/>
                <w:rFonts w:hint="default" w:ascii="Times New Roman" w:hAnsi="Times New Roman" w:eastAsia="方正仿宋简体" w:cs="Times New Roman"/>
                <w:sz w:val="22"/>
                <w:szCs w:val="22"/>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1.6</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Style w:val="43"/>
                <w:rFonts w:hint="default" w:ascii="Times New Roman" w:hAnsi="Times New Roman" w:eastAsia="方正仿宋简体" w:cs="Times New Roman"/>
                <w:sz w:val="22"/>
                <w:szCs w:val="22"/>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项目管理规范化</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5</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考察项目管理及档案资料规范化情况</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4</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社会效益（</w:t>
            </w:r>
            <w:r>
              <w:rPr>
                <w:rStyle w:val="41"/>
                <w:rFonts w:hint="default" w:ascii="Times New Roman" w:hAnsi="Times New Roman" w:eastAsia="方正仿宋简体" w:cs="Times New Roman"/>
                <w:sz w:val="22"/>
                <w:szCs w:val="22"/>
                <w:lang w:val="en-US" w:eastAsia="zh-CN" w:bidi="ar"/>
              </w:rPr>
              <w:t>6</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项目覆盖率</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考察该项目实施对残疾人的覆盖程度</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2</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0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03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残疾人生活状况改善</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考察通过该项目的实施，受益残疾人生活状况是否得到有效提升</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3</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155" w:type="dxa"/>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个性指标</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16</w:t>
            </w:r>
            <w:r>
              <w:rPr>
                <w:rStyle w:val="43"/>
                <w:rFonts w:hint="default" w:ascii="Times New Roman" w:hAnsi="Times New Roman" w:eastAsia="方正仿宋简体" w:cs="Times New Roman"/>
                <w:sz w:val="22"/>
                <w:szCs w:val="22"/>
                <w:lang w:val="en-US" w:eastAsia="zh-CN" w:bidi="ar"/>
              </w:rPr>
              <w:t>分）</w:t>
            </w:r>
          </w:p>
        </w:tc>
        <w:tc>
          <w:tcPr>
            <w:tcW w:w="1740" w:type="dxa"/>
            <w:gridSpan w:val="2"/>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可持续性影响力（</w:t>
            </w:r>
            <w:r>
              <w:rPr>
                <w:rStyle w:val="41"/>
                <w:rFonts w:hint="default" w:ascii="Times New Roman" w:hAnsi="Times New Roman" w:eastAsia="方正仿宋简体" w:cs="Times New Roman"/>
                <w:sz w:val="22"/>
                <w:szCs w:val="22"/>
                <w:lang w:val="en-US" w:eastAsia="zh-CN" w:bidi="ar"/>
              </w:rPr>
              <w:t>16</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长效机制健全性</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8</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考察项目实施单位是否针对各项目的实施制定了实施办法</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8</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155" w:type="dxa"/>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740" w:type="dxa"/>
            <w:gridSpan w:val="2"/>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政策知晓率</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8</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考察残疾人或其家庭成员对政策的了解程度</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r>
              <w:rPr>
                <w:rFonts w:hint="default" w:ascii="Times New Roman" w:hAnsi="Times New Roman" w:eastAsia="方正仿宋简体" w:cs="Times New Roman"/>
                <w:b/>
                <w:bCs/>
                <w:i w:val="0"/>
                <w:iCs w:val="0"/>
                <w:color w:val="000000"/>
                <w:kern w:val="0"/>
                <w:sz w:val="22"/>
                <w:szCs w:val="22"/>
                <w:u w:val="none"/>
                <w:lang w:val="en-US" w:eastAsia="zh-CN" w:bidi="ar"/>
              </w:rPr>
              <w:t>8</w:t>
            </w: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895" w:type="dxa"/>
            <w:gridSpan w:val="3"/>
            <w:vMerge w:val="restart"/>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扣分项</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w:t>
            </w:r>
            <w:r>
              <w:rPr>
                <w:rStyle w:val="41"/>
                <w:rFonts w:hint="default" w:ascii="Times New Roman" w:hAnsi="Times New Roman" w:eastAsia="方正仿宋简体" w:cs="Times New Roman"/>
                <w:sz w:val="22"/>
                <w:szCs w:val="22"/>
                <w:lang w:val="en-US" w:eastAsia="zh-CN" w:bidi="ar"/>
              </w:rPr>
              <w:t>10</w:t>
            </w:r>
            <w:r>
              <w:rPr>
                <w:rStyle w:val="43"/>
                <w:rFonts w:hint="default" w:ascii="Times New Roman" w:hAnsi="Times New Roman" w:eastAsia="方正仿宋简体" w:cs="Times New Roman"/>
                <w:sz w:val="22"/>
                <w:szCs w:val="22"/>
                <w:lang w:val="en-US" w:eastAsia="zh-CN" w:bidi="ar"/>
              </w:rPr>
              <w:t>分）</w:t>
            </w: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绩效管理</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存在问题</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人大监督、巡视巡察、审计监督、财会监督、绩效管理等方面存在的问题</w:t>
            </w:r>
          </w:p>
        </w:tc>
        <w:tc>
          <w:tcPr>
            <w:tcW w:w="780" w:type="dxa"/>
            <w:tcBorders>
              <w:tl2br w:val="nil"/>
              <w:tr2bl w:val="nil"/>
            </w:tcBorders>
            <w:shd w:val="clear" w:color="auto" w:fill="auto"/>
            <w:vAlign w:val="center"/>
          </w:tcPr>
          <w:p>
            <w:pPr>
              <w:jc w:val="center"/>
              <w:rPr>
                <w:rFonts w:hint="default" w:ascii="Times New Roman" w:hAnsi="Times New Roman" w:eastAsia="方正仿宋简体" w:cs="Times New Roman"/>
                <w:b/>
                <w:bCs/>
                <w:i w:val="0"/>
                <w:iCs w:val="0"/>
                <w:color w:val="000000"/>
                <w:kern w:val="0"/>
                <w:sz w:val="22"/>
                <w:szCs w:val="22"/>
                <w:u w:val="none"/>
                <w:lang w:val="en-US" w:eastAsia="zh-CN" w:bidi="ar"/>
              </w:rPr>
            </w:pP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895" w:type="dxa"/>
            <w:gridSpan w:val="3"/>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自评结果情况</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根据重点评价得分结果考核自评工作质量</w:t>
            </w:r>
          </w:p>
        </w:tc>
        <w:tc>
          <w:tcPr>
            <w:tcW w:w="780" w:type="dxa"/>
            <w:tcBorders>
              <w:tl2br w:val="nil"/>
              <w:tr2bl w:val="nil"/>
            </w:tcBorders>
            <w:shd w:val="clear" w:color="auto" w:fill="auto"/>
            <w:vAlign w:val="center"/>
          </w:tcPr>
          <w:p>
            <w:pPr>
              <w:jc w:val="center"/>
              <w:rPr>
                <w:rFonts w:hint="default" w:ascii="Times New Roman" w:hAnsi="Times New Roman" w:eastAsia="方正仿宋简体" w:cs="Times New Roman"/>
                <w:b/>
                <w:bCs/>
                <w:i w:val="0"/>
                <w:iCs w:val="0"/>
                <w:color w:val="000000"/>
                <w:kern w:val="0"/>
                <w:sz w:val="22"/>
                <w:szCs w:val="22"/>
                <w:u w:val="none"/>
                <w:lang w:val="en-US" w:eastAsia="zh-CN" w:bidi="ar"/>
              </w:rPr>
            </w:pP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895" w:type="dxa"/>
            <w:gridSpan w:val="3"/>
            <w:vMerge w:val="continue"/>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1322"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Style w:val="43"/>
                <w:rFonts w:hint="default" w:ascii="Times New Roman" w:hAnsi="Times New Roman" w:eastAsia="方正仿宋简体" w:cs="Times New Roman"/>
                <w:sz w:val="22"/>
                <w:szCs w:val="22"/>
                <w:lang w:val="en-US" w:eastAsia="zh-CN" w:bidi="ar"/>
              </w:rPr>
              <w:t>被评价</w:t>
            </w:r>
            <w:r>
              <w:rPr>
                <w:rStyle w:val="41"/>
                <w:rFonts w:hint="default" w:ascii="Times New Roman" w:hAnsi="Times New Roman" w:eastAsia="方正仿宋简体" w:cs="Times New Roman"/>
                <w:sz w:val="22"/>
                <w:szCs w:val="22"/>
                <w:lang w:val="en-US" w:eastAsia="zh-CN" w:bidi="ar"/>
              </w:rPr>
              <w:br w:type="textWrapping"/>
            </w:r>
            <w:r>
              <w:rPr>
                <w:rStyle w:val="43"/>
                <w:rFonts w:hint="default" w:ascii="Times New Roman" w:hAnsi="Times New Roman" w:eastAsia="方正仿宋简体" w:cs="Times New Roman"/>
                <w:sz w:val="22"/>
                <w:szCs w:val="22"/>
                <w:lang w:val="en-US" w:eastAsia="zh-CN" w:bidi="ar"/>
              </w:rPr>
              <w:t>部门配合度</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w:t>
            </w:r>
          </w:p>
        </w:tc>
        <w:tc>
          <w:tcPr>
            <w:tcW w:w="3885"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被评价对象工作配合情况</w:t>
            </w:r>
          </w:p>
        </w:tc>
        <w:tc>
          <w:tcPr>
            <w:tcW w:w="780" w:type="dxa"/>
            <w:tcBorders>
              <w:tl2br w:val="nil"/>
              <w:tr2bl w:val="nil"/>
            </w:tcBorders>
            <w:shd w:val="clear" w:color="auto" w:fill="auto"/>
            <w:vAlign w:val="center"/>
          </w:tcPr>
          <w:p>
            <w:pPr>
              <w:jc w:val="center"/>
              <w:rPr>
                <w:rFonts w:hint="default" w:ascii="Times New Roman" w:hAnsi="Times New Roman" w:eastAsia="方正仿宋简体" w:cs="Times New Roman"/>
                <w:b/>
                <w:bCs/>
                <w:i w:val="0"/>
                <w:iCs w:val="0"/>
                <w:color w:val="000000"/>
                <w:kern w:val="0"/>
                <w:sz w:val="22"/>
                <w:szCs w:val="22"/>
                <w:u w:val="none"/>
                <w:lang w:val="en-US" w:eastAsia="zh-CN" w:bidi="ar"/>
              </w:rPr>
            </w:pPr>
          </w:p>
        </w:tc>
        <w:tc>
          <w:tcPr>
            <w:tcW w:w="510" w:type="dxa"/>
            <w:tcBorders>
              <w:tl2br w:val="nil"/>
              <w:tr2bl w:val="nil"/>
            </w:tcBorders>
            <w:shd w:val="clear" w:color="auto" w:fill="auto"/>
            <w:vAlign w:val="center"/>
          </w:tcPr>
          <w:p>
            <w:pPr>
              <w:keepNext w:val="0"/>
              <w:keepLines w:val="0"/>
              <w:widowControl/>
              <w:suppressLineNumbers w:val="0"/>
              <w:spacing w:line="240" w:lineRule="exact"/>
              <w:jc w:val="left"/>
              <w:textAlignment w:val="center"/>
              <w:rPr>
                <w:rFonts w:hint="default" w:ascii="Times New Roman" w:hAnsi="Times New Roman" w:eastAsia="方正仿宋简体" w:cs="Times New Roman"/>
                <w:b/>
                <w:bCs/>
                <w:i w:val="0"/>
                <w:iCs w:val="0"/>
                <w:color w:val="000000"/>
                <w:kern w:val="0"/>
                <w:sz w:val="22"/>
                <w:szCs w:val="22"/>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4217" w:type="dxa"/>
            <w:gridSpan w:val="4"/>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合计</w:t>
            </w:r>
          </w:p>
        </w:tc>
        <w:tc>
          <w:tcPr>
            <w:tcW w:w="703" w:type="dxa"/>
            <w:tcBorders>
              <w:tl2br w:val="nil"/>
              <w:tr2bl w:val="nil"/>
            </w:tcBorders>
            <w:shd w:val="clear" w:color="auto" w:fill="auto"/>
            <w:vAlign w:val="center"/>
          </w:tcPr>
          <w:p>
            <w:pPr>
              <w:keepNext w:val="0"/>
              <w:keepLines w:val="0"/>
              <w:widowControl/>
              <w:suppressLineNumbers w:val="0"/>
              <w:spacing w:line="240" w:lineRule="exact"/>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100</w:t>
            </w:r>
          </w:p>
        </w:tc>
        <w:tc>
          <w:tcPr>
            <w:tcW w:w="3885" w:type="dxa"/>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2"/>
                <w:szCs w:val="22"/>
                <w:u w:val="none"/>
              </w:rPr>
            </w:pPr>
            <w:r>
              <w:rPr>
                <w:rFonts w:hint="default" w:ascii="Times New Roman" w:hAnsi="Times New Roman" w:eastAsia="方正仿宋简体" w:cs="Times New Roman"/>
                <w:b/>
                <w:bCs/>
                <w:i w:val="0"/>
                <w:iCs w:val="0"/>
                <w:color w:val="000000"/>
                <w:kern w:val="0"/>
                <w:sz w:val="22"/>
                <w:szCs w:val="22"/>
                <w:u w:val="none"/>
                <w:lang w:val="en-US" w:eastAsia="zh-CN" w:bidi="ar"/>
              </w:rPr>
              <w:t>96.54</w:t>
            </w:r>
          </w:p>
        </w:tc>
        <w:tc>
          <w:tcPr>
            <w:tcW w:w="510" w:type="dxa"/>
            <w:tcBorders>
              <w:tl2br w:val="nil"/>
              <w:tr2bl w:val="nil"/>
            </w:tcBorders>
            <w:shd w:val="clear" w:color="auto" w:fill="auto"/>
            <w:vAlign w:val="center"/>
          </w:tcPr>
          <w:p>
            <w:pPr>
              <w:spacing w:line="240" w:lineRule="exact"/>
              <w:jc w:val="center"/>
              <w:rPr>
                <w:rFonts w:hint="default" w:ascii="Times New Roman" w:hAnsi="Times New Roman" w:eastAsia="方正仿宋简体" w:cs="Times New Roman"/>
                <w:b/>
                <w:bCs/>
                <w:i w:val="0"/>
                <w:iCs w:val="0"/>
                <w:color w:val="000000"/>
                <w:sz w:val="22"/>
                <w:szCs w:val="22"/>
                <w:u w:val="none"/>
              </w:rPr>
            </w:pPr>
          </w:p>
        </w:tc>
      </w:tr>
    </w:tbl>
    <w:p>
      <w:pPr>
        <w:ind w:firstLine="0" w:firstLineChars="0"/>
        <w:rPr>
          <w:rFonts w:hint="default" w:ascii="Times New Roman" w:hAnsi="Times New Roman" w:eastAsia="方正小标宋简体" w:cs="Times New Roman"/>
          <w:b/>
          <w:bCs/>
          <w:sz w:val="44"/>
          <w:szCs w:val="44"/>
        </w:rPr>
      </w:pPr>
    </w:p>
    <w:p>
      <w:pPr>
        <w:pStyle w:val="8"/>
        <w:rPr>
          <w:rFonts w:hint="default" w:ascii="Times New Roman" w:hAnsi="Times New Roman" w:eastAsia="方正小标宋简体" w:cs="Times New Roman"/>
          <w:b/>
          <w:bCs/>
          <w:sz w:val="44"/>
          <w:szCs w:val="44"/>
        </w:rPr>
      </w:pPr>
    </w:p>
    <w:p>
      <w:pPr>
        <w:rPr>
          <w:rFonts w:hint="default" w:ascii="Times New Roman" w:hAnsi="Times New Roman" w:eastAsia="方正小标宋简体" w:cs="Times New Roman"/>
          <w:b/>
          <w:bCs/>
          <w:sz w:val="44"/>
          <w:szCs w:val="44"/>
        </w:rPr>
      </w:pPr>
    </w:p>
    <w:p>
      <w:pPr>
        <w:pStyle w:val="8"/>
        <w:rPr>
          <w:rFonts w:hint="default" w:ascii="Times New Roman" w:hAnsi="Times New Roman" w:eastAsia="方正小标宋简体" w:cs="Times New Roman"/>
          <w:b/>
          <w:bCs/>
          <w:sz w:val="44"/>
          <w:szCs w:val="44"/>
        </w:rPr>
      </w:pPr>
    </w:p>
    <w:p>
      <w:pPr>
        <w:rPr>
          <w:rFonts w:hint="default" w:ascii="Times New Roman" w:hAnsi="Times New Roman" w:eastAsia="方正小标宋简体" w:cs="Times New Roman"/>
          <w:b/>
          <w:bCs/>
          <w:sz w:val="44"/>
          <w:szCs w:val="44"/>
        </w:rPr>
      </w:pPr>
    </w:p>
    <w:p>
      <w:pPr>
        <w:pStyle w:val="8"/>
        <w:rPr>
          <w:rFonts w:hint="default" w:ascii="Times New Roman" w:hAnsi="Times New Roman" w:eastAsia="方正小标宋简体" w:cs="Times New Roman"/>
          <w:b/>
          <w:bCs/>
          <w:sz w:val="44"/>
          <w:szCs w:val="44"/>
        </w:rPr>
      </w:pPr>
    </w:p>
    <w:p>
      <w:pPr>
        <w:rPr>
          <w:rFonts w:hint="default" w:ascii="Times New Roman" w:hAnsi="Times New Roman" w:eastAsia="方正小标宋简体" w:cs="Times New Roman"/>
          <w:b/>
          <w:bCs/>
          <w:sz w:val="44"/>
          <w:szCs w:val="44"/>
        </w:rPr>
      </w:pPr>
    </w:p>
    <w:p>
      <w:pPr>
        <w:keepNext w:val="0"/>
        <w:keepLines w:val="0"/>
        <w:pageBreakBefore w:val="0"/>
        <w:kinsoku/>
        <w:wordWrap/>
        <w:overflowPunct/>
        <w:topLinePunct w:val="0"/>
        <w:autoSpaceDE/>
        <w:autoSpaceDN/>
        <w:bidi w:val="0"/>
        <w:spacing w:line="578" w:lineRule="exact"/>
        <w:ind w:left="0" w:leftChars="0"/>
        <w:jc w:val="both"/>
        <w:textAlignment w:val="auto"/>
        <w:rPr>
          <w:rFonts w:hint="default" w:ascii="Times New Roman" w:hAnsi="Times New Roman" w:eastAsia="方正黑体简体" w:cs="Times New Roman"/>
          <w:b/>
          <w:bCs/>
          <w:color w:val="auto"/>
          <w:kern w:val="0"/>
          <w:sz w:val="32"/>
          <w:szCs w:val="32"/>
          <w:highlight w:val="none"/>
          <w:u w:val="none"/>
          <w:shd w:val="clear" w:color="auto" w:fill="FFFFFF"/>
          <w:lang w:val="en-US" w:eastAsia="zh-CN"/>
        </w:rPr>
      </w:pPr>
      <w:r>
        <w:rPr>
          <w:rFonts w:hint="default" w:ascii="Times New Roman" w:hAnsi="Times New Roman" w:eastAsia="方正黑体简体" w:cs="Times New Roman"/>
          <w:b/>
          <w:bCs/>
          <w:color w:val="auto"/>
          <w:kern w:val="0"/>
          <w:sz w:val="32"/>
          <w:szCs w:val="32"/>
          <w:highlight w:val="none"/>
          <w:u w:val="none"/>
          <w:shd w:val="clear" w:color="auto" w:fill="FFFFFF"/>
          <w:lang w:val="zh-CN" w:eastAsia="zh-CN"/>
        </w:rPr>
        <w:t>附</w:t>
      </w:r>
      <w:r>
        <w:rPr>
          <w:rFonts w:hint="default" w:ascii="Times New Roman" w:hAnsi="Times New Roman" w:eastAsia="方正黑体简体" w:cs="Times New Roman"/>
          <w:b/>
          <w:bCs/>
          <w:color w:val="auto"/>
          <w:kern w:val="0"/>
          <w:sz w:val="32"/>
          <w:szCs w:val="32"/>
          <w:highlight w:val="none"/>
          <w:u w:val="none"/>
          <w:shd w:val="clear" w:color="auto" w:fill="FFFFFF"/>
          <w:lang w:val="en-US" w:eastAsia="zh-CN"/>
        </w:rPr>
        <w:t>表2</w:t>
      </w:r>
    </w:p>
    <w:p>
      <w:pPr>
        <w:pStyle w:val="2"/>
        <w:keepNext/>
        <w:keepLines/>
        <w:pageBreakBefore w:val="0"/>
        <w:widowControl w:val="0"/>
        <w:kinsoku/>
        <w:wordWrap/>
        <w:overflowPunct/>
        <w:topLinePunct w:val="0"/>
        <w:autoSpaceDE/>
        <w:autoSpaceDN/>
        <w:bidi w:val="0"/>
        <w:adjustRightInd/>
        <w:snapToGrid/>
        <w:spacing w:before="0" w:after="0" w:line="200"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default" w:ascii="Times New Roman" w:hAnsi="Times New Roman" w:eastAsia="方正小标宋简体" w:cs="Times New Roman"/>
          <w:b/>
          <w:bCs/>
          <w:color w:val="auto"/>
          <w:sz w:val="40"/>
          <w:szCs w:val="40"/>
          <w:highlight w:val="none"/>
          <w:u w:val="none"/>
          <w:lang w:val="en-US" w:eastAsia="zh-CN"/>
        </w:rPr>
      </w:pPr>
      <w:r>
        <w:rPr>
          <w:rFonts w:hint="default" w:ascii="Times New Roman" w:hAnsi="Times New Roman" w:eastAsia="方正小标宋简体" w:cs="Times New Roman"/>
          <w:b/>
          <w:bCs/>
          <w:color w:val="auto"/>
          <w:sz w:val="40"/>
          <w:szCs w:val="40"/>
          <w:highlight w:val="none"/>
          <w:u w:val="none"/>
          <w:lang w:val="en-US" w:eastAsia="zh-CN"/>
        </w:rPr>
        <w:t>残疾人事业发展市级补助资金绩效自评实地       踏勘点位清单表</w:t>
      </w:r>
    </w:p>
    <w:p>
      <w:pPr>
        <w:pStyle w:val="2"/>
        <w:keepNext/>
        <w:keepLines/>
        <w:pageBreakBefore w:val="0"/>
        <w:widowControl w:val="0"/>
        <w:kinsoku/>
        <w:wordWrap/>
        <w:overflowPunct/>
        <w:topLinePunct w:val="0"/>
        <w:autoSpaceDE/>
        <w:autoSpaceDN/>
        <w:bidi w:val="0"/>
        <w:adjustRightInd/>
        <w:snapToGrid/>
        <w:spacing w:before="0" w:after="0" w:line="400" w:lineRule="exact"/>
        <w:textAlignment w:val="auto"/>
        <w:rPr>
          <w:rFonts w:hint="default" w:ascii="Times New Roman" w:hAnsi="Times New Roman" w:cs="Times New Roman"/>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956"/>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12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US" w:eastAsia="zh-CN"/>
              </w:rPr>
            </w:pPr>
            <w:r>
              <w:rPr>
                <w:rFonts w:hint="default" w:ascii="Times New Roman" w:hAnsi="Times New Roman" w:eastAsia="方正仿宋简体" w:cs="Times New Roman"/>
                <w:b/>
                <w:bCs/>
                <w:color w:val="auto"/>
                <w:sz w:val="32"/>
                <w:szCs w:val="32"/>
                <w:highlight w:val="none"/>
                <w:u w:val="none"/>
                <w:vertAlign w:val="baseline"/>
                <w:lang w:val="en-US" w:eastAsia="zh-CN"/>
              </w:rPr>
              <w:t>序号</w:t>
            </w:r>
          </w:p>
        </w:tc>
        <w:tc>
          <w:tcPr>
            <w:tcW w:w="5956"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 w:eastAsia="zh-CN"/>
              </w:rPr>
            </w:pPr>
            <w:r>
              <w:rPr>
                <w:rFonts w:hint="default" w:ascii="Times New Roman" w:hAnsi="Times New Roman" w:eastAsia="方正仿宋简体" w:cs="Times New Roman"/>
                <w:b/>
                <w:bCs/>
                <w:color w:val="auto"/>
                <w:sz w:val="32"/>
                <w:szCs w:val="32"/>
                <w:highlight w:val="none"/>
                <w:u w:val="none"/>
                <w:vertAlign w:val="baseline"/>
                <w:lang w:val="en-US" w:eastAsia="zh-CN"/>
              </w:rPr>
              <w:t>实地踏勘点位</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US" w:eastAsia="zh-CN"/>
              </w:rPr>
            </w:pPr>
            <w:r>
              <w:rPr>
                <w:rFonts w:hint="default" w:ascii="Times New Roman" w:hAnsi="Times New Roman" w:eastAsia="方正仿宋简体" w:cs="Times New Roman"/>
                <w:b/>
                <w:bCs/>
                <w:color w:val="auto"/>
                <w:sz w:val="32"/>
                <w:szCs w:val="32"/>
                <w:highlight w:val="none"/>
                <w:u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lang w:val="en-US" w:eastAsia="zh-CN"/>
              </w:rPr>
            </w:pPr>
            <w:r>
              <w:rPr>
                <w:rFonts w:hint="default" w:ascii="Times New Roman" w:hAnsi="Times New Roman" w:eastAsia="方正仿宋简体" w:cs="Times New Roman"/>
                <w:b/>
                <w:bCs/>
                <w:color w:val="auto"/>
                <w:sz w:val="32"/>
                <w:szCs w:val="32"/>
                <w:highlight w:val="none"/>
                <w:u w:val="none"/>
                <w:lang w:val="en-US" w:eastAsia="zh-CN"/>
              </w:rPr>
              <w:t>1</w:t>
            </w:r>
          </w:p>
        </w:tc>
        <w:tc>
          <w:tcPr>
            <w:tcW w:w="5956"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 w:eastAsia="zh-CN"/>
              </w:rPr>
            </w:pPr>
            <w:r>
              <w:rPr>
                <w:rFonts w:hint="default" w:ascii="Times New Roman" w:hAnsi="Times New Roman" w:eastAsia="方正仿宋简体" w:cs="Times New Roman"/>
                <w:b/>
                <w:bCs/>
                <w:color w:val="auto"/>
                <w:sz w:val="32"/>
                <w:szCs w:val="32"/>
                <w:highlight w:val="none"/>
                <w:u w:val="none"/>
                <w:vertAlign w:val="baseline"/>
                <w:lang w:val="en" w:eastAsia="zh-CN"/>
              </w:rPr>
              <w:t>泸州市江阳区残疾人联合会</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lang w:val="en-US" w:eastAsia="zh-CN"/>
              </w:rPr>
            </w:pPr>
            <w:r>
              <w:rPr>
                <w:rFonts w:hint="default" w:ascii="Times New Roman" w:hAnsi="Times New Roman" w:eastAsia="方正仿宋简体" w:cs="Times New Roman"/>
                <w:b/>
                <w:bCs/>
                <w:color w:val="auto"/>
                <w:sz w:val="32"/>
                <w:szCs w:val="32"/>
                <w:highlight w:val="none"/>
                <w:u w:val="none"/>
                <w:lang w:val="en-US" w:eastAsia="zh-CN"/>
              </w:rPr>
              <w:t>2</w:t>
            </w:r>
          </w:p>
        </w:tc>
        <w:tc>
          <w:tcPr>
            <w:tcW w:w="5956"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 w:eastAsia="zh-CN"/>
              </w:rPr>
            </w:pPr>
            <w:r>
              <w:rPr>
                <w:rFonts w:hint="default" w:ascii="Times New Roman" w:hAnsi="Times New Roman" w:eastAsia="方正仿宋简体" w:cs="Times New Roman"/>
                <w:b/>
                <w:bCs/>
                <w:color w:val="auto"/>
                <w:sz w:val="32"/>
                <w:szCs w:val="32"/>
                <w:highlight w:val="none"/>
                <w:u w:val="none"/>
                <w:vertAlign w:val="baseline"/>
                <w:lang w:val="en" w:eastAsia="zh-CN"/>
              </w:rPr>
              <w:t>泸州市龙马潭区残疾人联合会</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lang w:val="en-US" w:eastAsia="zh-CN"/>
              </w:rPr>
            </w:pPr>
            <w:r>
              <w:rPr>
                <w:rFonts w:hint="default" w:ascii="Times New Roman" w:hAnsi="Times New Roman" w:eastAsia="方正仿宋简体" w:cs="Times New Roman"/>
                <w:b/>
                <w:bCs/>
                <w:color w:val="auto"/>
                <w:sz w:val="32"/>
                <w:szCs w:val="32"/>
                <w:highlight w:val="none"/>
                <w:u w:val="none"/>
                <w:lang w:val="en-US" w:eastAsia="zh-CN"/>
              </w:rPr>
              <w:t>3</w:t>
            </w:r>
          </w:p>
        </w:tc>
        <w:tc>
          <w:tcPr>
            <w:tcW w:w="5956"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US" w:eastAsia="zh-CN"/>
              </w:rPr>
            </w:pPr>
            <w:r>
              <w:rPr>
                <w:rFonts w:hint="default" w:ascii="Times New Roman" w:hAnsi="Times New Roman" w:eastAsia="方正仿宋简体" w:cs="Times New Roman"/>
                <w:b/>
                <w:bCs/>
                <w:color w:val="auto"/>
                <w:sz w:val="32"/>
                <w:szCs w:val="32"/>
                <w:highlight w:val="none"/>
                <w:u w:val="none"/>
                <w:vertAlign w:val="baseline"/>
                <w:lang w:val="en" w:eastAsia="zh-CN"/>
              </w:rPr>
              <w:t>泸州市纳溪区残疾人联合会</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方正仿宋简体" w:cs="Times New Roman"/>
                <w:b/>
                <w:bCs/>
                <w:color w:val="auto"/>
                <w:sz w:val="32"/>
                <w:szCs w:val="32"/>
                <w:highlight w:val="none"/>
                <w:u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_GBK" w:cs="Times New Roman"/>
          <w:b w:val="0"/>
          <w:bCs w:val="0"/>
          <w:color w:val="auto"/>
          <w:sz w:val="32"/>
          <w:szCs w:val="32"/>
          <w:highlight w:val="none"/>
          <w:u w:val="none"/>
          <w:vertAlign w:val="baseline"/>
          <w:lang w:val="en-US" w:eastAsia="zh-CN"/>
        </w:rPr>
      </w:pPr>
      <w:r>
        <w:rPr>
          <w:rFonts w:hint="default" w:ascii="Times New Roman" w:hAnsi="Times New Roman" w:eastAsia="方正仿宋_GBK" w:cs="Times New Roman"/>
          <w:b w:val="0"/>
          <w:bCs w:val="0"/>
          <w:color w:val="auto"/>
          <w:sz w:val="32"/>
          <w:szCs w:val="32"/>
          <w:highlight w:val="none"/>
          <w:u w:val="none"/>
          <w:vertAlign w:val="baseline"/>
          <w:lang w:val="en-US" w:eastAsia="zh-CN"/>
        </w:rPr>
        <w:t xml:space="preserve">  </w:t>
      </w:r>
    </w:p>
    <w:p>
      <w:pPr>
        <w:pStyle w:val="8"/>
        <w:rPr>
          <w:rFonts w:hint="default" w:ascii="Times New Roman" w:hAnsi="Times New Roman" w:eastAsia="方正小标宋简体" w:cs="Times New Roman"/>
          <w:b/>
          <w:bCs/>
          <w:sz w:val="44"/>
          <w:szCs w:val="44"/>
        </w:rPr>
      </w:pPr>
    </w:p>
    <w:p>
      <w:pPr>
        <w:rPr>
          <w:rFonts w:hint="default" w:ascii="Times New Roman" w:hAnsi="Times New Roman" w:eastAsia="方正小标宋简体" w:cs="Times New Roman"/>
          <w:b/>
          <w:bCs/>
          <w:sz w:val="44"/>
          <w:szCs w:val="44"/>
        </w:rPr>
      </w:pPr>
    </w:p>
    <w:p>
      <w:pPr>
        <w:pStyle w:val="2"/>
        <w:rPr>
          <w:rFonts w:hint="default" w:ascii="Times New Roman" w:hAnsi="Times New Roman" w:eastAsia="方正小标宋简体" w:cs="Times New Roman"/>
          <w:b/>
          <w:bCs/>
          <w:sz w:val="44"/>
          <w:szCs w:val="44"/>
        </w:rPr>
      </w:pPr>
    </w:p>
    <w:p>
      <w:pPr>
        <w:rPr>
          <w:rFonts w:hint="default" w:ascii="Times New Roman" w:hAnsi="Times New Roman" w:eastAsia="方正小标宋简体" w:cs="Times New Roman"/>
          <w:b/>
          <w:bCs/>
          <w:sz w:val="44"/>
          <w:szCs w:val="44"/>
        </w:rPr>
      </w:pPr>
    </w:p>
    <w:p>
      <w:pPr>
        <w:pStyle w:val="2"/>
        <w:rPr>
          <w:rFonts w:hint="default" w:ascii="Times New Roman" w:hAnsi="Times New Roman" w:eastAsia="方正小标宋简体" w:cs="Times New Roman"/>
          <w:b/>
          <w:bCs/>
          <w:sz w:val="44"/>
          <w:szCs w:val="44"/>
        </w:rPr>
      </w:pPr>
    </w:p>
    <w:p>
      <w:pPr>
        <w:rPr>
          <w:rFonts w:hint="default" w:ascii="Times New Roman" w:hAnsi="Times New Roman" w:eastAsia="方正小标宋简体" w:cs="Times New Roman"/>
          <w:b/>
          <w:bCs/>
          <w:sz w:val="44"/>
          <w:szCs w:val="44"/>
        </w:rPr>
      </w:pPr>
    </w:p>
    <w:p>
      <w:pPr>
        <w:pStyle w:val="2"/>
        <w:rPr>
          <w:rFonts w:hint="default" w:ascii="Times New Roman" w:hAnsi="Times New Roman" w:eastAsia="方正小标宋简体" w:cs="Times New Roman"/>
          <w:b/>
          <w:bCs/>
          <w:sz w:val="44"/>
          <w:szCs w:val="44"/>
        </w:rPr>
      </w:pPr>
    </w:p>
    <w:p>
      <w:pPr>
        <w:pStyle w:val="2"/>
        <w:rPr>
          <w:rFonts w:hint="default" w:ascii="Times New Roman" w:hAnsi="Times New Roman" w:cs="Times New Roman"/>
          <w:b/>
          <w:bCs/>
        </w:rPr>
      </w:pPr>
    </w:p>
    <w:p>
      <w:pPr>
        <w:rPr>
          <w:rFonts w:hint="default" w:ascii="Times New Roman" w:hAnsi="Times New Roman" w:eastAsia="仿宋_GB2312" w:cs="Times New Roman"/>
          <w:b/>
          <w:bCs/>
          <w:kern w:val="0"/>
          <w:position w:val="0"/>
          <w:sz w:val="32"/>
          <w:szCs w:val="32"/>
          <w:highlight w:val="none"/>
          <w:lang w:val="en-US" w:eastAsia="zh-CN" w:bidi="ar-SA"/>
        </w:rPr>
      </w:pPr>
      <w:r>
        <w:rPr>
          <w:rFonts w:hint="default" w:ascii="Times New Roman" w:hAnsi="Times New Roman" w:eastAsia="方正小标宋简体" w:cs="Times New Roman"/>
          <w:b/>
          <w:bCs/>
          <w:sz w:val="44"/>
          <w:szCs w:val="44"/>
        </w:rPr>
        <w:br w:type="page"/>
      </w:r>
      <w:bookmarkStart w:id="66" w:name="_Toc15396618"/>
    </w:p>
    <w:p>
      <w:pPr>
        <w:widowControl/>
        <w:jc w:val="center"/>
        <w:rPr>
          <w:rFonts w:hint="default" w:ascii="Times New Roman" w:hAnsi="Times New Roman" w:eastAsia="仿宋" w:cs="Times New Roman"/>
          <w:b/>
          <w:bCs/>
          <w:color w:val="auto"/>
          <w:highlight w:val="none"/>
        </w:rPr>
      </w:pPr>
      <w:r>
        <w:rPr>
          <w:rFonts w:hint="default" w:ascii="Times New Roman" w:hAnsi="Times New Roman" w:eastAsia="黑体" w:cs="Times New Roman"/>
          <w:b/>
          <w:bCs/>
          <w:color w:val="auto"/>
          <w:sz w:val="44"/>
          <w:szCs w:val="44"/>
          <w:highlight w:val="none"/>
        </w:rPr>
        <w:t>第</w:t>
      </w:r>
      <w:r>
        <w:rPr>
          <w:rStyle w:val="32"/>
          <w:rFonts w:hint="default" w:ascii="Times New Roman" w:hAnsi="Times New Roman" w:eastAsia="黑体" w:cs="Times New Roman"/>
          <w:b/>
          <w:bCs/>
          <w:color w:val="auto"/>
          <w:highlight w:val="none"/>
        </w:rPr>
        <w:t>五部分 附表</w:t>
      </w:r>
      <w:bookmarkEnd w:id="55"/>
      <w:bookmarkEnd w:id="66"/>
      <w:bookmarkStart w:id="67" w:name="_Toc15396619"/>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一、收入支出决算总表</w:t>
      </w:r>
      <w:bookmarkEnd w:id="67"/>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68" w:name="_Toc15396620"/>
      <w:r>
        <w:rPr>
          <w:rFonts w:hint="default" w:ascii="Times New Roman" w:hAnsi="Times New Roman" w:eastAsia="仿宋_GB2312" w:cs="Times New Roman"/>
          <w:b/>
          <w:bCs/>
          <w:color w:val="auto"/>
          <w:sz w:val="32"/>
          <w:szCs w:val="32"/>
          <w:highlight w:val="none"/>
        </w:rPr>
        <w:t>二、收入决算表</w:t>
      </w:r>
      <w:bookmarkEnd w:id="68"/>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69" w:name="_Toc15396621"/>
      <w:r>
        <w:rPr>
          <w:rFonts w:hint="default" w:ascii="Times New Roman" w:hAnsi="Times New Roman" w:eastAsia="仿宋_GB2312" w:cs="Times New Roman"/>
          <w:b/>
          <w:bCs/>
          <w:color w:val="auto"/>
          <w:sz w:val="32"/>
          <w:szCs w:val="32"/>
          <w:highlight w:val="none"/>
        </w:rPr>
        <w:t>三、支出决算表</w:t>
      </w:r>
      <w:bookmarkEnd w:id="69"/>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70" w:name="_Toc15396622"/>
      <w:r>
        <w:rPr>
          <w:rFonts w:hint="default" w:ascii="Times New Roman" w:hAnsi="Times New Roman" w:eastAsia="仿宋_GB2312" w:cs="Times New Roman"/>
          <w:b/>
          <w:bCs/>
          <w:color w:val="auto"/>
          <w:sz w:val="32"/>
          <w:szCs w:val="32"/>
          <w:highlight w:val="none"/>
        </w:rPr>
        <w:t>四、财政拨款收入支出决算总表</w:t>
      </w:r>
      <w:bookmarkEnd w:id="70"/>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71" w:name="_Toc15396623"/>
      <w:r>
        <w:rPr>
          <w:rFonts w:hint="default" w:ascii="Times New Roman" w:hAnsi="Times New Roman" w:eastAsia="仿宋_GB2312" w:cs="Times New Roman"/>
          <w:b/>
          <w:bCs/>
          <w:color w:val="auto"/>
          <w:sz w:val="32"/>
          <w:szCs w:val="32"/>
          <w:highlight w:val="none"/>
        </w:rPr>
        <w:t>五、财政拨款支出决算明细表</w:t>
      </w:r>
      <w:bookmarkEnd w:id="71"/>
      <w:bookmarkStart w:id="72" w:name="_Toc15396624"/>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六、一般公共预算财政拨款支出决算表</w:t>
      </w:r>
      <w:bookmarkEnd w:id="72"/>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73" w:name="_Toc15396625"/>
      <w:r>
        <w:rPr>
          <w:rFonts w:hint="default" w:ascii="Times New Roman" w:hAnsi="Times New Roman" w:eastAsia="仿宋_GB2312" w:cs="Times New Roman"/>
          <w:b/>
          <w:bCs/>
          <w:color w:val="auto"/>
          <w:sz w:val="32"/>
          <w:szCs w:val="32"/>
          <w:highlight w:val="none"/>
        </w:rPr>
        <w:t>七、一般公共预算财政拨款支出决算明细表</w:t>
      </w:r>
      <w:bookmarkEnd w:id="73"/>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74" w:name="_Toc15396626"/>
      <w:r>
        <w:rPr>
          <w:rFonts w:hint="default" w:ascii="Times New Roman" w:hAnsi="Times New Roman" w:eastAsia="仿宋_GB2312" w:cs="Times New Roman"/>
          <w:b/>
          <w:bCs/>
          <w:color w:val="auto"/>
          <w:sz w:val="32"/>
          <w:szCs w:val="32"/>
          <w:highlight w:val="none"/>
        </w:rPr>
        <w:t>八、一般公共预算财政拨款基本支出决算表</w:t>
      </w:r>
      <w:bookmarkEnd w:id="74"/>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75" w:name="_Toc15396627"/>
      <w:r>
        <w:rPr>
          <w:rFonts w:hint="default" w:ascii="Times New Roman" w:hAnsi="Times New Roman" w:eastAsia="仿宋_GB2312" w:cs="Times New Roman"/>
          <w:b/>
          <w:bCs/>
          <w:color w:val="auto"/>
          <w:sz w:val="32"/>
          <w:szCs w:val="32"/>
          <w:highlight w:val="none"/>
        </w:rPr>
        <w:t>九、一般公共预算财政拨款项目支出决算表</w:t>
      </w:r>
      <w:bookmarkEnd w:id="75"/>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76" w:name="_Toc15396628"/>
      <w:r>
        <w:rPr>
          <w:rFonts w:hint="default" w:ascii="Times New Roman" w:hAnsi="Times New Roman" w:eastAsia="仿宋_GB2312" w:cs="Times New Roman"/>
          <w:b/>
          <w:bCs/>
          <w:color w:val="auto"/>
          <w:sz w:val="32"/>
          <w:szCs w:val="32"/>
          <w:highlight w:val="none"/>
        </w:rPr>
        <w:t>十、</w:t>
      </w:r>
      <w:bookmarkEnd w:id="76"/>
      <w:r>
        <w:rPr>
          <w:rFonts w:hint="default" w:ascii="Times New Roman" w:hAnsi="Times New Roman" w:eastAsia="仿宋_GB2312" w:cs="Times New Roman"/>
          <w:b/>
          <w:bCs/>
          <w:color w:val="auto"/>
          <w:sz w:val="32"/>
          <w:szCs w:val="32"/>
          <w:highlight w:val="none"/>
        </w:rPr>
        <w:t>政府性基金预算财政拨款收入支出决算表</w:t>
      </w:r>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77" w:name="_Toc15396629"/>
      <w:r>
        <w:rPr>
          <w:rFonts w:hint="default" w:ascii="Times New Roman" w:hAnsi="Times New Roman" w:eastAsia="仿宋_GB2312" w:cs="Times New Roman"/>
          <w:b/>
          <w:bCs/>
          <w:color w:val="auto"/>
          <w:sz w:val="32"/>
          <w:szCs w:val="32"/>
          <w:highlight w:val="none"/>
        </w:rPr>
        <w:t>十一、</w:t>
      </w:r>
      <w:bookmarkEnd w:id="77"/>
      <w:r>
        <w:rPr>
          <w:rFonts w:hint="default" w:ascii="Times New Roman" w:hAnsi="Times New Roman" w:eastAsia="仿宋_GB2312" w:cs="Times New Roman"/>
          <w:b/>
          <w:bCs/>
          <w:color w:val="auto"/>
          <w:sz w:val="32"/>
          <w:szCs w:val="32"/>
          <w:highlight w:val="none"/>
        </w:rPr>
        <w:t>国有资本经营预算</w:t>
      </w:r>
      <w:r>
        <w:rPr>
          <w:rFonts w:hint="default" w:ascii="Times New Roman" w:hAnsi="Times New Roman" w:eastAsia="仿宋_GB2312" w:cs="Times New Roman"/>
          <w:b/>
          <w:bCs/>
          <w:color w:val="auto"/>
          <w:sz w:val="32"/>
          <w:szCs w:val="32"/>
          <w:highlight w:val="none"/>
          <w:lang w:eastAsia="zh-CN"/>
        </w:rPr>
        <w:t>财政拨款收入</w:t>
      </w:r>
      <w:r>
        <w:rPr>
          <w:rFonts w:hint="default" w:ascii="Times New Roman" w:hAnsi="Times New Roman" w:eastAsia="仿宋_GB2312" w:cs="Times New Roman"/>
          <w:b/>
          <w:bCs/>
          <w:color w:val="auto"/>
          <w:sz w:val="32"/>
          <w:szCs w:val="32"/>
          <w:highlight w:val="none"/>
        </w:rPr>
        <w:t>支出决算表</w:t>
      </w:r>
    </w:p>
    <w:p>
      <w:pPr>
        <w:pStyle w:val="17"/>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b/>
          <w:bCs/>
          <w:color w:val="auto"/>
          <w:sz w:val="32"/>
          <w:szCs w:val="32"/>
          <w:highlight w:val="none"/>
        </w:rPr>
      </w:pPr>
      <w:bookmarkStart w:id="78" w:name="_Toc15396630"/>
      <w:r>
        <w:rPr>
          <w:rFonts w:hint="default" w:ascii="Times New Roman" w:hAnsi="Times New Roman" w:eastAsia="仿宋_GB2312" w:cs="Times New Roman"/>
          <w:b/>
          <w:bCs/>
          <w:color w:val="auto"/>
          <w:sz w:val="32"/>
          <w:szCs w:val="32"/>
          <w:highlight w:val="none"/>
        </w:rPr>
        <w:t>十二、</w:t>
      </w:r>
      <w:bookmarkEnd w:id="78"/>
      <w:r>
        <w:rPr>
          <w:rFonts w:hint="default" w:ascii="Times New Roman" w:hAnsi="Times New Roman" w:eastAsia="仿宋_GB2312" w:cs="Times New Roman"/>
          <w:b/>
          <w:bCs/>
          <w:color w:val="auto"/>
          <w:sz w:val="32"/>
          <w:szCs w:val="32"/>
          <w:highlight w:val="none"/>
          <w:lang w:eastAsia="zh-CN"/>
        </w:rPr>
        <w:t>国有资本经营预算财政拨款支出决算表</w:t>
      </w:r>
    </w:p>
    <w:p>
      <w:pPr>
        <w:pStyle w:val="10"/>
        <w:spacing w:line="560" w:lineRule="exact"/>
        <w:ind w:left="0" w:leftChars="0" w:firstLine="421" w:firstLineChars="131"/>
        <w:rPr>
          <w:rFonts w:hint="default" w:ascii="Times New Roman" w:hAnsi="Times New Roman" w:cs="Times New Roman"/>
          <w:b/>
          <w:bCs/>
          <w:lang w:eastAsia="zh-CN"/>
        </w:rPr>
      </w:pPr>
      <w:bookmarkStart w:id="79" w:name="_Toc15396631"/>
      <w:r>
        <w:rPr>
          <w:rFonts w:hint="default" w:ascii="Times New Roman" w:hAnsi="Times New Roman" w:eastAsia="仿宋_GB2312" w:cs="Times New Roman"/>
          <w:b/>
          <w:bCs/>
          <w:color w:val="auto"/>
          <w:sz w:val="32"/>
          <w:szCs w:val="32"/>
          <w:highlight w:val="none"/>
        </w:rPr>
        <w:t>十三、</w:t>
      </w:r>
      <w:bookmarkEnd w:id="79"/>
      <w:r>
        <w:rPr>
          <w:rFonts w:hint="default" w:ascii="Times New Roman" w:hAnsi="Times New Roman" w:eastAsia="仿宋_GB2312" w:cs="Times New Roman"/>
          <w:b/>
          <w:bCs/>
          <w:color w:val="auto"/>
          <w:sz w:val="32"/>
          <w:szCs w:val="32"/>
          <w:highlight w:val="none"/>
          <w:lang w:eastAsia="zh-CN"/>
        </w:rPr>
        <w:t>财政拨款“三公”经费支出决算表</w:t>
      </w:r>
    </w:p>
    <w:p>
      <w:pPr>
        <w:rPr>
          <w:rFonts w:hint="default" w:ascii="Times New Roman" w:hAnsi="Times New Roman" w:cs="Times New Roman"/>
          <w:b/>
          <w:bCs/>
          <w:lang w:eastAsia="zh-CN"/>
        </w:rPr>
      </w:pPr>
    </w:p>
    <w:sectPr>
      <w:footerReference r:id="rId11" w:type="default"/>
      <w:pgSz w:w="11906" w:h="16838"/>
      <w:pgMar w:top="2098" w:right="1474" w:bottom="1984" w:left="1587" w:header="851" w:footer="992" w:gutter="0"/>
      <w:pgNumType w:fmt="decimal" w:start="104"/>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7B0E7EC-906D-4FFC-8E99-C6B57316FC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EDF227C2-77A6-419F-B47D-DFAB1496240B}"/>
  </w:font>
  <w:font w:name="仿宋_GB2312">
    <w:panose1 w:val="02010609030101010101"/>
    <w:charset w:val="86"/>
    <w:family w:val="modern"/>
    <w:pitch w:val="default"/>
    <w:sig w:usb0="00000001" w:usb1="080E0000" w:usb2="00000000" w:usb3="00000000" w:csb0="00040000" w:csb1="00000000"/>
    <w:embedRegular r:id="rId3" w:fontKey="{83D27B89-8454-4AE5-843A-67EE0C42D49A}"/>
  </w:font>
  <w:font w:name="??">
    <w:altName w:val="Segoe Print"/>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embedRegular r:id="rId4" w:fontKey="{C8F6BD50-2EEC-47F5-9CB3-DCF605E23215}"/>
  </w:font>
  <w:font w:name="方正黑体简体">
    <w:panose1 w:val="03000509000000000000"/>
    <w:charset w:val="86"/>
    <w:family w:val="auto"/>
    <w:pitch w:val="default"/>
    <w:sig w:usb0="00000001" w:usb1="080E0000" w:usb2="00000000" w:usb3="00000000" w:csb0="00040000" w:csb1="00000000"/>
    <w:embedRegular r:id="rId5" w:fontKey="{95921E66-A1BD-4FC8-A50A-AE9808F687FF}"/>
  </w:font>
  <w:font w:name="方正仿宋简体">
    <w:panose1 w:val="03000509000000000000"/>
    <w:charset w:val="86"/>
    <w:family w:val="auto"/>
    <w:pitch w:val="default"/>
    <w:sig w:usb0="00000001" w:usb1="080E0000" w:usb2="00000000" w:usb3="00000000" w:csb0="00040000" w:csb1="00000000"/>
    <w:embedRegular r:id="rId6" w:fontKey="{CD18CB23-6D1F-4A71-B6D9-CB2758159342}"/>
  </w:font>
  <w:font w:name="楷体_GB2312">
    <w:panose1 w:val="02010609030101010101"/>
    <w:charset w:val="86"/>
    <w:family w:val="auto"/>
    <w:pitch w:val="default"/>
    <w:sig w:usb0="00000001" w:usb1="080E0000" w:usb2="00000000" w:usb3="00000000" w:csb0="00040000" w:csb1="00000000"/>
    <w:embedRegular r:id="rId7" w:fontKey="{09FE0292-E1F5-46F0-8513-5A7CD4C6F877}"/>
  </w:font>
  <w:font w:name="方正楷体简体">
    <w:panose1 w:val="03000509000000000000"/>
    <w:charset w:val="86"/>
    <w:family w:val="auto"/>
    <w:pitch w:val="default"/>
    <w:sig w:usb0="00000001" w:usb1="080E0000" w:usb2="00000000" w:usb3="00000000" w:csb0="00040000" w:csb1="00000000"/>
    <w:embedRegular r:id="rId8" w:fontKey="{A5E35210-FF80-4D46-80E0-54931472D943}"/>
  </w:font>
  <w:font w:name="方正仿宋_GBK">
    <w:panose1 w:val="03000509000000000000"/>
    <w:charset w:val="86"/>
    <w:family w:val="auto"/>
    <w:pitch w:val="default"/>
    <w:sig w:usb0="00000001" w:usb1="080E0000" w:usb2="00000000" w:usb3="00000000" w:csb0="00040000" w:csb1="00000000"/>
    <w:embedRegular r:id="rId9" w:fontKey="{260B4960-2A2A-4328-B4FC-DD9FAFE58017}"/>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hNGZmOWY4NWQwMjJlODg5MDNlMWMyNDlmYzhjNGY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3356"/>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29210C"/>
    <w:rsid w:val="02FEBE30"/>
    <w:rsid w:val="04916F1E"/>
    <w:rsid w:val="05056D9E"/>
    <w:rsid w:val="061E35DE"/>
    <w:rsid w:val="066E0107"/>
    <w:rsid w:val="06971BCC"/>
    <w:rsid w:val="07996F6E"/>
    <w:rsid w:val="07DFD8BA"/>
    <w:rsid w:val="09867E8F"/>
    <w:rsid w:val="0A2032A3"/>
    <w:rsid w:val="0CA8290A"/>
    <w:rsid w:val="0D35B1ED"/>
    <w:rsid w:val="0E254B6B"/>
    <w:rsid w:val="0F98263C"/>
    <w:rsid w:val="101860EC"/>
    <w:rsid w:val="101F47CC"/>
    <w:rsid w:val="10C055FF"/>
    <w:rsid w:val="11694EBD"/>
    <w:rsid w:val="11772AA4"/>
    <w:rsid w:val="118107EC"/>
    <w:rsid w:val="12034AC3"/>
    <w:rsid w:val="12E24EE2"/>
    <w:rsid w:val="136F66CF"/>
    <w:rsid w:val="13D50BC4"/>
    <w:rsid w:val="14B17F78"/>
    <w:rsid w:val="162D3751"/>
    <w:rsid w:val="165E0673"/>
    <w:rsid w:val="16B831D5"/>
    <w:rsid w:val="16BB723D"/>
    <w:rsid w:val="17E50567"/>
    <w:rsid w:val="186504BB"/>
    <w:rsid w:val="19A445FC"/>
    <w:rsid w:val="1BE8440E"/>
    <w:rsid w:val="1CC6347C"/>
    <w:rsid w:val="1D155CEE"/>
    <w:rsid w:val="1D1638FE"/>
    <w:rsid w:val="1E312DEB"/>
    <w:rsid w:val="1E740ACF"/>
    <w:rsid w:val="1FF35744"/>
    <w:rsid w:val="1FF6BC77"/>
    <w:rsid w:val="2186353C"/>
    <w:rsid w:val="228F0415"/>
    <w:rsid w:val="23860B96"/>
    <w:rsid w:val="240371BF"/>
    <w:rsid w:val="244F3473"/>
    <w:rsid w:val="24C97D99"/>
    <w:rsid w:val="25A718F0"/>
    <w:rsid w:val="25BB59F6"/>
    <w:rsid w:val="260F557C"/>
    <w:rsid w:val="26970054"/>
    <w:rsid w:val="281408E2"/>
    <w:rsid w:val="29FD04D3"/>
    <w:rsid w:val="2A140D1E"/>
    <w:rsid w:val="2BFF7BC6"/>
    <w:rsid w:val="2C8A61B5"/>
    <w:rsid w:val="2DF04E50"/>
    <w:rsid w:val="2E586DFA"/>
    <w:rsid w:val="2EF263B2"/>
    <w:rsid w:val="2F040D46"/>
    <w:rsid w:val="2F6B035B"/>
    <w:rsid w:val="2FAE5751"/>
    <w:rsid w:val="2FB1A395"/>
    <w:rsid w:val="2FD9A7D8"/>
    <w:rsid w:val="2FDBF714"/>
    <w:rsid w:val="30AB6865"/>
    <w:rsid w:val="31910610"/>
    <w:rsid w:val="319F7F4E"/>
    <w:rsid w:val="32BD1EF1"/>
    <w:rsid w:val="3304709D"/>
    <w:rsid w:val="33A773CB"/>
    <w:rsid w:val="349D6851"/>
    <w:rsid w:val="36AA5135"/>
    <w:rsid w:val="36BE0DA7"/>
    <w:rsid w:val="376B6AA6"/>
    <w:rsid w:val="376D39B2"/>
    <w:rsid w:val="37E16F03"/>
    <w:rsid w:val="37F53A3B"/>
    <w:rsid w:val="389B6C89"/>
    <w:rsid w:val="38D469F0"/>
    <w:rsid w:val="39627CCD"/>
    <w:rsid w:val="397BAF1F"/>
    <w:rsid w:val="3A2E757B"/>
    <w:rsid w:val="3AB79AF3"/>
    <w:rsid w:val="3AE834C0"/>
    <w:rsid w:val="3B7EF35A"/>
    <w:rsid w:val="3B9FDB6C"/>
    <w:rsid w:val="3BF5BC2F"/>
    <w:rsid w:val="3CEBA265"/>
    <w:rsid w:val="3D1B6DFC"/>
    <w:rsid w:val="3D98207C"/>
    <w:rsid w:val="3DEE7CF3"/>
    <w:rsid w:val="3E740A63"/>
    <w:rsid w:val="3E78745D"/>
    <w:rsid w:val="3E7958A9"/>
    <w:rsid w:val="3EE17838"/>
    <w:rsid w:val="3F55381A"/>
    <w:rsid w:val="3F7F7599"/>
    <w:rsid w:val="3FF4CAE0"/>
    <w:rsid w:val="3FF7B227"/>
    <w:rsid w:val="44E268DA"/>
    <w:rsid w:val="450D13D7"/>
    <w:rsid w:val="45506656"/>
    <w:rsid w:val="4809498A"/>
    <w:rsid w:val="486A6C7A"/>
    <w:rsid w:val="4A627F82"/>
    <w:rsid w:val="4B0E749A"/>
    <w:rsid w:val="4B2477C4"/>
    <w:rsid w:val="4B4F25DA"/>
    <w:rsid w:val="4BE068DB"/>
    <w:rsid w:val="4C373527"/>
    <w:rsid w:val="4D577224"/>
    <w:rsid w:val="4DBF1CEB"/>
    <w:rsid w:val="4DF0007C"/>
    <w:rsid w:val="4EAB630A"/>
    <w:rsid w:val="4ECE2238"/>
    <w:rsid w:val="4F833267"/>
    <w:rsid w:val="4FE9BD67"/>
    <w:rsid w:val="4FFB052F"/>
    <w:rsid w:val="537E6D0A"/>
    <w:rsid w:val="53F74C96"/>
    <w:rsid w:val="55170BA8"/>
    <w:rsid w:val="553218C9"/>
    <w:rsid w:val="567E1AA5"/>
    <w:rsid w:val="56E47B74"/>
    <w:rsid w:val="57175D52"/>
    <w:rsid w:val="57BD3DD4"/>
    <w:rsid w:val="588B2C30"/>
    <w:rsid w:val="5AF92295"/>
    <w:rsid w:val="5B250254"/>
    <w:rsid w:val="5BDD79E6"/>
    <w:rsid w:val="5BF561CA"/>
    <w:rsid w:val="5BFF5DFC"/>
    <w:rsid w:val="5C476215"/>
    <w:rsid w:val="5CD71FC4"/>
    <w:rsid w:val="5D1F11B5"/>
    <w:rsid w:val="5D695134"/>
    <w:rsid w:val="5DAE1B18"/>
    <w:rsid w:val="5DE7D9E5"/>
    <w:rsid w:val="5ECEC941"/>
    <w:rsid w:val="5FBF9FF3"/>
    <w:rsid w:val="5FCD4E2C"/>
    <w:rsid w:val="5FEF394A"/>
    <w:rsid w:val="5FF67715"/>
    <w:rsid w:val="622B6462"/>
    <w:rsid w:val="62BF3928"/>
    <w:rsid w:val="63B3701E"/>
    <w:rsid w:val="647F5392"/>
    <w:rsid w:val="65E66580"/>
    <w:rsid w:val="664B1D71"/>
    <w:rsid w:val="664B4E8E"/>
    <w:rsid w:val="67277B67"/>
    <w:rsid w:val="67AA3209"/>
    <w:rsid w:val="69831E66"/>
    <w:rsid w:val="698D0931"/>
    <w:rsid w:val="6A7FE5F3"/>
    <w:rsid w:val="6B053271"/>
    <w:rsid w:val="6BDD78B3"/>
    <w:rsid w:val="6C4A05C8"/>
    <w:rsid w:val="6C8742B8"/>
    <w:rsid w:val="6D2E2FCC"/>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39125E"/>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7257"/>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4">
    <w:name w:val="heading 2"/>
    <w:basedOn w:val="5"/>
    <w:next w:val="5"/>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6"/>
    <w:unhideWhenUsed/>
    <w:qFormat/>
    <w:uiPriority w:val="9"/>
    <w:pPr>
      <w:keepNext/>
      <w:keepLines/>
      <w:spacing w:before="260" w:after="260" w:line="416" w:lineRule="auto"/>
      <w:outlineLvl w:val="2"/>
    </w:pPr>
    <w:rPr>
      <w:b/>
      <w:bCs/>
      <w:sz w:val="32"/>
      <w:szCs w:val="32"/>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5">
    <w:name w:val="汇政正文"/>
    <w:basedOn w:val="1"/>
    <w:qFormat/>
    <w:uiPriority w:val="3"/>
    <w:pPr>
      <w:spacing w:line="600" w:lineRule="exact"/>
      <w:ind w:firstLine="640"/>
    </w:pPr>
    <w:rPr>
      <w:rFonts w:eastAsia="仿宋"/>
      <w:szCs w:val="32"/>
      <w:lang w:val="zh-CN"/>
    </w:rPr>
  </w:style>
  <w:style w:type="paragraph" w:styleId="7">
    <w:name w:val="Salutation"/>
    <w:basedOn w:val="1"/>
    <w:next w:val="1"/>
    <w:qFormat/>
    <w:uiPriority w:val="0"/>
  </w:style>
  <w:style w:type="paragraph" w:styleId="8">
    <w:name w:val="Body Text"/>
    <w:basedOn w:val="1"/>
    <w:next w:val="1"/>
    <w:link w:val="29"/>
    <w:qFormat/>
    <w:uiPriority w:val="99"/>
    <w:pPr>
      <w:spacing w:beforeLines="30"/>
    </w:pPr>
    <w:rPr>
      <w:rFonts w:ascii="仿宋_GB2312" w:eastAsia="仿宋_GB2312"/>
      <w:kern w:val="0"/>
      <w:sz w:val="30"/>
    </w:rPr>
  </w:style>
  <w:style w:type="paragraph" w:styleId="9">
    <w:name w:val="Body Text Indent"/>
    <w:basedOn w:val="1"/>
    <w:next w:val="10"/>
    <w:qFormat/>
    <w:uiPriority w:val="0"/>
    <w:pPr>
      <w:spacing w:after="120"/>
      <w:ind w:leftChars="200"/>
    </w:pPr>
    <w:rPr>
      <w:rFonts w:ascii="仿宋_GB2312"/>
      <w:szCs w:val="32"/>
    </w:rPr>
  </w:style>
  <w:style w:type="paragraph" w:styleId="10">
    <w:name w:val="Body Text First Indent 2"/>
    <w:basedOn w:val="9"/>
    <w:unhideWhenUsed/>
    <w:qFormat/>
    <w:uiPriority w:val="99"/>
    <w:pPr>
      <w:ind w:firstLine="420" w:firstLineChars="200"/>
    </w:pPr>
  </w:style>
  <w:style w:type="paragraph" w:styleId="11">
    <w:name w:val="toc 3"/>
    <w:basedOn w:val="1"/>
    <w:next w:val="1"/>
    <w:unhideWhenUsed/>
    <w:qFormat/>
    <w:uiPriority w:val="39"/>
    <w:pPr>
      <w:tabs>
        <w:tab w:val="right" w:leader="dot" w:pos="8296"/>
      </w:tabs>
      <w:ind w:left="840" w:leftChars="400"/>
    </w:pPr>
  </w:style>
  <w:style w:type="paragraph" w:styleId="12">
    <w:name w:val="Balloon Text"/>
    <w:basedOn w:val="1"/>
    <w:link w:val="35"/>
    <w:semiHidden/>
    <w:unhideWhenUsed/>
    <w:qFormat/>
    <w:uiPriority w:val="99"/>
    <w:rPr>
      <w:sz w:val="18"/>
      <w:szCs w:val="18"/>
    </w:rPr>
  </w:style>
  <w:style w:type="paragraph" w:styleId="13">
    <w:name w:val="footer"/>
    <w:basedOn w:val="1"/>
    <w:link w:val="27"/>
    <w:qFormat/>
    <w:uiPriority w:val="99"/>
    <w:pPr>
      <w:tabs>
        <w:tab w:val="center" w:pos="4153"/>
        <w:tab w:val="right" w:pos="8306"/>
      </w:tabs>
      <w:snapToGrid w:val="0"/>
      <w:jc w:val="left"/>
    </w:pPr>
    <w:rPr>
      <w:rFonts w:ascii="Calibri" w:hAnsi="Calibri"/>
      <w:kern w:val="0"/>
      <w:sz w:val="18"/>
      <w:szCs w:val="18"/>
    </w:rPr>
  </w:style>
  <w:style w:type="paragraph" w:styleId="14">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5">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6">
    <w:name w:val="footnote text"/>
    <w:basedOn w:val="1"/>
    <w:next w:val="10"/>
    <w:semiHidden/>
    <w:qFormat/>
    <w:uiPriority w:val="0"/>
    <w:pPr>
      <w:snapToGrid w:val="0"/>
      <w:jc w:val="left"/>
    </w:pPr>
    <w:rPr>
      <w:sz w:val="18"/>
      <w:szCs w:val="18"/>
    </w:rPr>
  </w:style>
  <w:style w:type="paragraph" w:styleId="17">
    <w:name w:val="toc 2"/>
    <w:basedOn w:val="1"/>
    <w:next w:val="1"/>
    <w:unhideWhenUsed/>
    <w:qFormat/>
    <w:uiPriority w:val="39"/>
    <w:pPr>
      <w:tabs>
        <w:tab w:val="right" w:leader="dot" w:pos="8296"/>
      </w:tabs>
      <w:ind w:left="420" w:leftChars="200"/>
    </w:pPr>
  </w:style>
  <w:style w:type="paragraph" w:styleId="1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99"/>
    <w:rPr>
      <w:b/>
    </w:rPr>
  </w:style>
  <w:style w:type="character" w:styleId="23">
    <w:name w:val="Hyperlink"/>
    <w:basedOn w:val="21"/>
    <w:unhideWhenUsed/>
    <w:qFormat/>
    <w:uiPriority w:val="99"/>
    <w:rPr>
      <w:color w:val="0000FF" w:themeColor="hyperlink"/>
      <w:u w:val="single"/>
      <w14:textFill>
        <w14:solidFill>
          <w14:schemeClr w14:val="hlink"/>
        </w14:solidFill>
      </w14:textFill>
    </w:rPr>
  </w:style>
  <w:style w:type="character" w:customStyle="1" w:styleId="24">
    <w:name w:val="Header Char"/>
    <w:basedOn w:val="21"/>
    <w:semiHidden/>
    <w:qFormat/>
    <w:uiPriority w:val="99"/>
    <w:rPr>
      <w:rFonts w:ascii="Times New Roman" w:hAnsi="Times New Roman"/>
      <w:sz w:val="18"/>
      <w:szCs w:val="18"/>
    </w:rPr>
  </w:style>
  <w:style w:type="character" w:customStyle="1" w:styleId="25">
    <w:name w:val="页眉 Char"/>
    <w:link w:val="14"/>
    <w:semiHidden/>
    <w:qFormat/>
    <w:locked/>
    <w:uiPriority w:val="99"/>
    <w:rPr>
      <w:sz w:val="18"/>
    </w:rPr>
  </w:style>
  <w:style w:type="character" w:customStyle="1" w:styleId="26">
    <w:name w:val="Footer Char"/>
    <w:basedOn w:val="21"/>
    <w:semiHidden/>
    <w:qFormat/>
    <w:uiPriority w:val="99"/>
    <w:rPr>
      <w:rFonts w:ascii="Times New Roman" w:hAnsi="Times New Roman"/>
      <w:sz w:val="18"/>
      <w:szCs w:val="18"/>
    </w:rPr>
  </w:style>
  <w:style w:type="character" w:customStyle="1" w:styleId="27">
    <w:name w:val="页脚 Char"/>
    <w:link w:val="13"/>
    <w:qFormat/>
    <w:locked/>
    <w:uiPriority w:val="99"/>
    <w:rPr>
      <w:sz w:val="18"/>
    </w:rPr>
  </w:style>
  <w:style w:type="character" w:customStyle="1" w:styleId="28">
    <w:name w:val="Body Text Char"/>
    <w:basedOn w:val="21"/>
    <w:semiHidden/>
    <w:qFormat/>
    <w:uiPriority w:val="99"/>
    <w:rPr>
      <w:rFonts w:ascii="Times New Roman" w:hAnsi="Times New Roman"/>
      <w:szCs w:val="24"/>
    </w:rPr>
  </w:style>
  <w:style w:type="character" w:customStyle="1" w:styleId="29">
    <w:name w:val="正文文本 Char"/>
    <w:link w:val="8"/>
    <w:qFormat/>
    <w:locked/>
    <w:uiPriority w:val="99"/>
    <w:rPr>
      <w:rFonts w:ascii="仿宋_GB2312" w:hAnsi="Times New Roman" w:eastAsia="仿宋_GB2312"/>
      <w:sz w:val="24"/>
    </w:rPr>
  </w:style>
  <w:style w:type="paragraph" w:customStyle="1" w:styleId="3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1">
    <w:name w:val="List Paragraph"/>
    <w:basedOn w:val="1"/>
    <w:qFormat/>
    <w:uiPriority w:val="34"/>
    <w:pPr>
      <w:ind w:firstLine="420" w:firstLineChars="200"/>
    </w:pPr>
  </w:style>
  <w:style w:type="character" w:customStyle="1" w:styleId="32">
    <w:name w:val="标题 1 Char"/>
    <w:basedOn w:val="21"/>
    <w:link w:val="3"/>
    <w:qFormat/>
    <w:uiPriority w:val="9"/>
    <w:rPr>
      <w:rFonts w:ascii="Times New Roman" w:hAnsi="Times New Roman"/>
      <w:b/>
      <w:bCs/>
      <w:kern w:val="44"/>
      <w:sz w:val="44"/>
      <w:szCs w:val="44"/>
    </w:rPr>
  </w:style>
  <w:style w:type="character" w:customStyle="1" w:styleId="33">
    <w:name w:val="标题 2 Char"/>
    <w:basedOn w:val="21"/>
    <w:link w:val="4"/>
    <w:qFormat/>
    <w:uiPriority w:val="9"/>
    <w:rPr>
      <w:rFonts w:asciiTheme="majorHAnsi" w:hAnsiTheme="majorHAnsi" w:eastAsiaTheme="majorEastAsia" w:cstheme="majorBidi"/>
      <w:b/>
      <w:bCs/>
      <w:kern w:val="2"/>
      <w:sz w:val="32"/>
      <w:szCs w:val="32"/>
    </w:rPr>
  </w:style>
  <w:style w:type="paragraph" w:customStyle="1" w:styleId="34">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1"/>
    <w:link w:val="12"/>
    <w:semiHidden/>
    <w:qFormat/>
    <w:uiPriority w:val="99"/>
    <w:rPr>
      <w:rFonts w:ascii="Times New Roman" w:hAnsi="Times New Roman"/>
      <w:kern w:val="2"/>
      <w:sz w:val="18"/>
      <w:szCs w:val="18"/>
    </w:rPr>
  </w:style>
  <w:style w:type="character" w:customStyle="1" w:styleId="36">
    <w:name w:val="标题 3 Char"/>
    <w:basedOn w:val="21"/>
    <w:link w:val="6"/>
    <w:qFormat/>
    <w:uiPriority w:val="9"/>
    <w:rPr>
      <w:rFonts w:ascii="Times New Roman" w:hAnsi="Times New Roman"/>
      <w:b/>
      <w:bCs/>
      <w:kern w:val="2"/>
      <w:sz w:val="32"/>
      <w:szCs w:val="32"/>
    </w:r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8">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9">
    <w:name w:val="闻政图表名"/>
    <w:basedOn w:val="1"/>
    <w:qFormat/>
    <w:uiPriority w:val="4"/>
    <w:pPr>
      <w:spacing w:before="60" w:after="60"/>
      <w:jc w:val="center"/>
    </w:pPr>
    <w:rPr>
      <w:b/>
      <w:szCs w:val="28"/>
    </w:rPr>
  </w:style>
  <w:style w:type="paragraph" w:customStyle="1" w:styleId="40">
    <w:name w:val="汇政表文字"/>
    <w:basedOn w:val="5"/>
    <w:qFormat/>
    <w:uiPriority w:val="5"/>
    <w:pPr>
      <w:widowControl/>
      <w:pBdr>
        <w:between w:val="single" w:color="auto" w:sz="4" w:space="1"/>
      </w:pBdr>
      <w:spacing w:line="320" w:lineRule="exact"/>
      <w:ind w:firstLine="0"/>
      <w:jc w:val="center"/>
    </w:pPr>
    <w:rPr>
      <w:rFonts w:cs="宋体"/>
      <w:bCs/>
      <w:color w:val="000000"/>
      <w:sz w:val="22"/>
      <w:szCs w:val="22"/>
    </w:rPr>
  </w:style>
  <w:style w:type="character" w:customStyle="1" w:styleId="41">
    <w:name w:val="font31"/>
    <w:basedOn w:val="21"/>
    <w:qFormat/>
    <w:uiPriority w:val="0"/>
    <w:rPr>
      <w:rFonts w:hint="eastAsia" w:ascii="宋体" w:hAnsi="宋体" w:eastAsia="宋体" w:cs="宋体"/>
      <w:color w:val="000000"/>
      <w:sz w:val="24"/>
      <w:szCs w:val="24"/>
      <w:u w:val="none"/>
    </w:rPr>
  </w:style>
  <w:style w:type="character" w:customStyle="1" w:styleId="42">
    <w:name w:val="font71"/>
    <w:basedOn w:val="21"/>
    <w:qFormat/>
    <w:uiPriority w:val="0"/>
    <w:rPr>
      <w:rFonts w:ascii="黑体" w:hAnsi="宋体" w:eastAsia="黑体" w:cs="黑体"/>
      <w:b/>
      <w:bCs/>
      <w:color w:val="000000"/>
      <w:sz w:val="24"/>
      <w:szCs w:val="24"/>
      <w:u w:val="none"/>
    </w:rPr>
  </w:style>
  <w:style w:type="character" w:customStyle="1" w:styleId="43">
    <w:name w:val="font61"/>
    <w:basedOn w:val="21"/>
    <w:qFormat/>
    <w:uiPriority w:val="0"/>
    <w:rPr>
      <w:rFonts w:hint="default" w:ascii="Times New Roman" w:hAnsi="Times New Roman" w:cs="Times New Roman"/>
      <w:b/>
      <w:bCs/>
      <w:color w:val="000000"/>
      <w:sz w:val="24"/>
      <w:szCs w:val="24"/>
      <w:u w:val="none"/>
    </w:rPr>
  </w:style>
  <w:style w:type="character" w:customStyle="1" w:styleId="44">
    <w:name w:val="font51"/>
    <w:basedOn w:val="21"/>
    <w:qFormat/>
    <w:uiPriority w:val="0"/>
    <w:rPr>
      <w:rFonts w:hint="default" w:ascii="Times New Roman" w:hAnsi="Times New Roman" w:cs="Times New Roman"/>
      <w:color w:val="000000"/>
      <w:sz w:val="24"/>
      <w:szCs w:val="24"/>
      <w:u w:val="none"/>
    </w:rPr>
  </w:style>
  <w:style w:type="character" w:customStyle="1" w:styleId="45">
    <w:name w:val="font81"/>
    <w:basedOn w:val="21"/>
    <w:qFormat/>
    <w:uiPriority w:val="0"/>
    <w:rPr>
      <w:rFonts w:hint="default" w:ascii="Times New Roman" w:hAnsi="Times New Roman" w:cs="Times New Roman"/>
      <w:b/>
      <w:bCs/>
      <w:color w:val="000000"/>
      <w:sz w:val="30"/>
      <w:szCs w:val="30"/>
      <w:u w:val="none"/>
    </w:rPr>
  </w:style>
  <w:style w:type="character" w:customStyle="1" w:styleId="46">
    <w:name w:val="font171"/>
    <w:basedOn w:val="21"/>
    <w:qFormat/>
    <w:uiPriority w:val="0"/>
    <w:rPr>
      <w:rFonts w:hint="eastAsia" w:ascii="宋体" w:hAnsi="宋体" w:eastAsia="宋体" w:cs="宋体"/>
      <w:color w:val="000000"/>
      <w:sz w:val="20"/>
      <w:szCs w:val="20"/>
      <w:u w:val="none"/>
    </w:rPr>
  </w:style>
  <w:style w:type="character" w:customStyle="1" w:styleId="47">
    <w:name w:val="font91"/>
    <w:basedOn w:val="21"/>
    <w:qFormat/>
    <w:uiPriority w:val="0"/>
    <w:rPr>
      <w:rFonts w:hint="default" w:ascii="Times New Roman" w:hAnsi="Times New Roman" w:cs="Times New Roman"/>
      <w:color w:val="000000"/>
      <w:sz w:val="20"/>
      <w:szCs w:val="20"/>
      <w:u w:val="none"/>
    </w:rPr>
  </w:style>
  <w:style w:type="character" w:customStyle="1" w:styleId="48">
    <w:name w:val="font141"/>
    <w:basedOn w:val="21"/>
    <w:qFormat/>
    <w:uiPriority w:val="0"/>
    <w:rPr>
      <w:rFonts w:hint="eastAsia" w:ascii="宋体" w:hAnsi="宋体" w:eastAsia="宋体" w:cs="宋体"/>
      <w:color w:val="000000"/>
      <w:sz w:val="20"/>
      <w:szCs w:val="20"/>
      <w:u w:val="none"/>
    </w:rPr>
  </w:style>
  <w:style w:type="character" w:customStyle="1" w:styleId="49">
    <w:name w:val="font101"/>
    <w:basedOn w:val="21"/>
    <w:qFormat/>
    <w:uiPriority w:val="0"/>
    <w:rPr>
      <w:rFonts w:hint="default" w:ascii="Times New Roman" w:hAnsi="Times New Roman" w:cs="Times New Roman"/>
      <w:color w:val="000000"/>
      <w:sz w:val="20"/>
      <w:szCs w:val="20"/>
      <w:u w:val="none"/>
    </w:rPr>
  </w:style>
  <w:style w:type="character" w:customStyle="1" w:styleId="50">
    <w:name w:val="font181"/>
    <w:basedOn w:val="2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7.emf"/><Relationship Id="rId25" Type="http://schemas.openxmlformats.org/officeDocument/2006/relationships/oleObject" Target="embeddings/oleObject7.bin"/><Relationship Id="rId24" Type="http://schemas.openxmlformats.org/officeDocument/2006/relationships/image" Target="media/image6.emf"/><Relationship Id="rId23" Type="http://schemas.openxmlformats.org/officeDocument/2006/relationships/oleObject" Target="embeddings/oleObject6.bin"/><Relationship Id="rId22" Type="http://schemas.openxmlformats.org/officeDocument/2006/relationships/image" Target="media/image5.emf"/><Relationship Id="rId21" Type="http://schemas.openxmlformats.org/officeDocument/2006/relationships/oleObject" Target="embeddings/oleObject5.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7"/>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127</Pages>
  <Words>65932</Words>
  <Characters>75644</Characters>
  <Lines>61</Lines>
  <Paragraphs>17</Paragraphs>
  <TotalTime>18</TotalTime>
  <ScaleCrop>false</ScaleCrop>
  <LinksUpToDate>false</LinksUpToDate>
  <CharactersWithSpaces>77446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丑妈</cp:lastModifiedBy>
  <cp:lastPrinted>2025-09-01T02:40:00Z</cp:lastPrinted>
  <dcterms:modified xsi:type="dcterms:W3CDTF">2025-09-23T02:39:23Z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04787F2533EB45DC91BCDE4AB213247F</vt:lpwstr>
  </property>
  <property fmtid="{D5CDD505-2E9C-101B-9397-08002B2CF9AE}" pid="4" name="KSOTemplateDocerSaveRecord">
    <vt:lpwstr>eyJoZGlkIjoiNTU0MGRkMGZhNjVhZWYzMmVkMzIwZGQ5ZjY4Yzk4ZTAiLCJ1c2VySWQiOiI1MDk4MDQ4MTAifQ==</vt:lpwstr>
  </property>
</Properties>
</file>